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DF9B6">
      <w:pPr>
        <w:wordWrap/>
        <w:overflowPunct/>
        <w:topLinePunct w:val="0"/>
        <w:bidi w:val="0"/>
        <w:adjustRightInd w:val="0"/>
        <w:snapToGrid w:val="0"/>
        <w:spacing w:line="300" w:lineRule="auto"/>
        <w:jc w:val="left"/>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2FE72883">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p>
    <w:p w14:paraId="29BBBC8B">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招　标　文　件</w:t>
      </w:r>
    </w:p>
    <w:p w14:paraId="787E13CF">
      <w:pPr>
        <w:pStyle w:val="28"/>
        <w:wordWrap/>
        <w:overflowPunct/>
        <w:topLinePunct w:val="0"/>
        <w:bidi w:val="0"/>
        <w:spacing w:line="300" w:lineRule="auto"/>
        <w:ind w:firstLine="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项目名称：</w:t>
      </w:r>
      <w:r>
        <w:rPr>
          <w:rFonts w:hint="eastAsia" w:ascii="Times New Roman" w:hAnsi="Times New Roman" w:cs="Times New Roman"/>
          <w:b/>
          <w:bCs/>
          <w:color w:val="auto"/>
          <w:sz w:val="32"/>
          <w:szCs w:val="32"/>
          <w:highlight w:val="none"/>
          <w:lang w:eastAsia="zh-CN"/>
        </w:rPr>
        <w:t>检验/输血管理系统更新项目</w:t>
      </w:r>
    </w:p>
    <w:p w14:paraId="774C1330">
      <w:pPr>
        <w:pStyle w:val="28"/>
        <w:wordWrap/>
        <w:overflowPunct/>
        <w:topLinePunct w:val="0"/>
        <w:bidi w:val="0"/>
        <w:spacing w:line="300" w:lineRule="auto"/>
        <w:ind w:firstLine="0"/>
        <w:jc w:val="center"/>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标书编号：</w:t>
      </w:r>
      <w:r>
        <w:rPr>
          <w:rFonts w:hint="eastAsia" w:ascii="Times New Roman" w:hAnsi="Times New Roman" w:cs="Times New Roman"/>
          <w:b/>
          <w:color w:val="auto"/>
          <w:sz w:val="32"/>
          <w:szCs w:val="32"/>
          <w:highlight w:val="none"/>
          <w:lang w:eastAsia="zh-CN"/>
        </w:rPr>
        <w:t>JSZC-320582-SKSK-G2025-0013</w:t>
      </w:r>
      <w:r>
        <w:rPr>
          <w:rFonts w:hint="eastAsia" w:ascii="Times New Roman" w:hAnsi="Times New Roman" w:cs="Times New Roman"/>
          <w:b/>
          <w:color w:val="auto"/>
          <w:sz w:val="32"/>
          <w:szCs w:val="32"/>
          <w:highlight w:val="none"/>
          <w:lang w:val="en-US" w:eastAsia="zh-CN"/>
        </w:rPr>
        <w:t xml:space="preserve"> </w:t>
      </w:r>
      <w:r>
        <w:rPr>
          <w:rFonts w:hint="eastAsia" w:ascii="Times New Roman" w:hAnsi="Times New Roman" w:cs="Times New Roman"/>
          <w:b/>
          <w:color w:val="auto"/>
          <w:sz w:val="32"/>
          <w:szCs w:val="32"/>
          <w:highlight w:val="none"/>
          <w:lang w:val="en-US" w:eastAsia="zh-CN"/>
        </w:rPr>
        <w:t xml:space="preserve"> </w:t>
      </w:r>
    </w:p>
    <w:p w14:paraId="5B5CFB7F">
      <w:pPr>
        <w:pStyle w:val="28"/>
        <w:wordWrap/>
        <w:overflowPunct/>
        <w:topLinePunct w:val="0"/>
        <w:bidi w:val="0"/>
        <w:spacing w:before="0" w:after="0" w:line="300" w:lineRule="auto"/>
        <w:ind w:firstLine="0"/>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项目属性：货物类</w:t>
      </w:r>
      <w:r>
        <w:rPr>
          <w:rFonts w:hint="default" w:ascii="Times New Roman" w:hAnsi="Times New Roman" w:eastAsia="宋体" w:cs="Times New Roman"/>
          <w:b/>
          <w:color w:val="auto"/>
          <w:sz w:val="32"/>
          <w:szCs w:val="32"/>
          <w:highlight w:val="none"/>
        </w:rPr>
        <w:tab/>
      </w:r>
    </w:p>
    <w:p w14:paraId="44BAE762">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F440014">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509694A6">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35EC8770">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7374C722">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47489968">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62EB051A">
      <w:pPr>
        <w:pStyle w:val="28"/>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74EB03C0">
      <w:pPr>
        <w:pStyle w:val="12"/>
        <w:wordWrap/>
        <w:overflowPunct/>
        <w:topLinePunct w:val="0"/>
        <w:bidi w:val="0"/>
        <w:spacing w:line="300" w:lineRule="auto"/>
        <w:jc w:val="center"/>
        <w:rPr>
          <w:rFonts w:hint="default" w:ascii="Times New Roman" w:hAnsi="Times New Roman" w:eastAsia="宋体" w:cs="Times New Roman"/>
          <w:b/>
          <w:bCs/>
          <w:color w:val="auto"/>
          <w:kern w:val="0"/>
          <w:sz w:val="32"/>
          <w:szCs w:val="32"/>
          <w:highlight w:val="none"/>
        </w:rPr>
      </w:pPr>
      <w:bookmarkStart w:id="0" w:name="EBa2c0f902f9fd4dd98ea46b351c404110"/>
      <w:r>
        <w:rPr>
          <w:rFonts w:hint="default" w:ascii="Times New Roman" w:hAnsi="Times New Roman" w:eastAsia="宋体" w:cs="Times New Roman"/>
          <w:b/>
          <w:bCs/>
          <w:color w:val="auto"/>
          <w:kern w:val="0"/>
          <w:sz w:val="32"/>
          <w:szCs w:val="32"/>
          <w:highlight w:val="none"/>
        </w:rPr>
        <w:t>苏州康新恩招投标有限公司</w:t>
      </w:r>
      <w:bookmarkEnd w:id="0"/>
    </w:p>
    <w:p w14:paraId="79915184">
      <w:pPr>
        <w:pStyle w:val="28"/>
        <w:wordWrap/>
        <w:overflowPunct/>
        <w:topLinePunct w:val="0"/>
        <w:bidi w:val="0"/>
        <w:spacing w:line="300" w:lineRule="auto"/>
        <w:ind w:firstLine="0"/>
        <w:jc w:val="center"/>
        <w:rPr>
          <w:rFonts w:hint="default" w:ascii="Times New Roman" w:hAnsi="Times New Roman" w:eastAsia="宋体" w:cs="Times New Roman"/>
          <w:b/>
          <w:bCs/>
          <w:color w:val="auto"/>
          <w:sz w:val="32"/>
          <w:highlight w:val="none"/>
          <w:lang w:val="en-US" w:eastAsia="zh-CN"/>
        </w:rPr>
      </w:pPr>
      <w:r>
        <w:rPr>
          <w:rFonts w:hint="default" w:ascii="Times New Roman" w:hAnsi="Times New Roman" w:eastAsia="宋体" w:cs="Times New Roman"/>
          <w:b/>
          <w:bCs/>
          <w:color w:val="auto"/>
          <w:sz w:val="32"/>
          <w:highlight w:val="none"/>
          <w:lang w:eastAsia="zh-CN"/>
        </w:rPr>
        <w:t>202</w:t>
      </w:r>
      <w:r>
        <w:rPr>
          <w:rFonts w:hint="default" w:ascii="Times New Roman" w:hAnsi="Times New Roman" w:eastAsia="宋体" w:cs="Times New Roman"/>
          <w:b/>
          <w:bCs/>
          <w:color w:val="auto"/>
          <w:sz w:val="32"/>
          <w:highlight w:val="none"/>
          <w:lang w:val="en-US" w:eastAsia="zh-CN"/>
        </w:rPr>
        <w:t>5</w:t>
      </w:r>
      <w:r>
        <w:rPr>
          <w:rFonts w:hint="default" w:ascii="Times New Roman" w:hAnsi="Times New Roman" w:eastAsia="宋体" w:cs="Times New Roman"/>
          <w:b/>
          <w:bCs/>
          <w:color w:val="auto"/>
          <w:sz w:val="32"/>
          <w:highlight w:val="none"/>
          <w:lang w:eastAsia="zh-CN"/>
        </w:rPr>
        <w:t>年</w:t>
      </w:r>
      <w:r>
        <w:rPr>
          <w:rFonts w:hint="eastAsia" w:ascii="Times New Roman" w:hAnsi="Times New Roman" w:cs="Times New Roman"/>
          <w:b/>
          <w:bCs/>
          <w:color w:val="auto"/>
          <w:sz w:val="32"/>
          <w:highlight w:val="none"/>
          <w:lang w:val="en-US" w:eastAsia="zh-CN"/>
        </w:rPr>
        <w:t>12</w:t>
      </w:r>
      <w:r>
        <w:rPr>
          <w:rFonts w:hint="default" w:ascii="Times New Roman" w:hAnsi="Times New Roman" w:eastAsia="宋体" w:cs="Times New Roman"/>
          <w:b/>
          <w:bCs/>
          <w:color w:val="auto"/>
          <w:sz w:val="32"/>
          <w:highlight w:val="none"/>
          <w:lang w:eastAsia="zh-CN"/>
        </w:rPr>
        <w:t>月</w:t>
      </w:r>
    </w:p>
    <w:p w14:paraId="692CBA17">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39686C7E">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27AA7647">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37C9A0C7">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bookmarkStart w:id="1" w:name="_Toc120614210"/>
      <w:bookmarkStart w:id="2" w:name="_Toc16938516"/>
      <w:bookmarkStart w:id="3" w:name="_Toc20823272"/>
      <w:bookmarkStart w:id="4" w:name="_Toc479757206"/>
      <w:bookmarkStart w:id="5" w:name="_Toc513029200"/>
      <w:bookmarkStart w:id="6" w:name="_Toc523127445"/>
      <w:r>
        <w:rPr>
          <w:rFonts w:hint="default" w:ascii="Times New Roman" w:hAnsi="Times New Roman" w:eastAsia="宋体" w:cs="Times New Roman"/>
          <w:b/>
          <w:bCs/>
          <w:color w:val="auto"/>
          <w:sz w:val="44"/>
          <w:szCs w:val="44"/>
          <w:highlight w:val="none"/>
        </w:rPr>
        <w:br w:type="page"/>
      </w:r>
    </w:p>
    <w:p w14:paraId="0D57A134">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p>
    <w:p w14:paraId="39DB3E17">
      <w:pPr>
        <w:pStyle w:val="15"/>
        <w:tabs>
          <w:tab w:val="right" w:leader="dot" w:pos="10092"/>
        </w:tabs>
        <w:wordWrap/>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701C25AE">
      <w:pPr>
        <w:pStyle w:val="15"/>
        <w:tabs>
          <w:tab w:val="right" w:leader="dot" w:pos="10092"/>
        </w:tabs>
        <w:wordWrap/>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58A39410">
      <w:pPr>
        <w:pStyle w:val="15"/>
        <w:tabs>
          <w:tab w:val="right" w:leader="dot" w:pos="10092"/>
        </w:tabs>
        <w:wordWrap/>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14</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2DD208B9">
      <w:pPr>
        <w:pStyle w:val="15"/>
        <w:tabs>
          <w:tab w:val="right" w:leader="dot" w:pos="10092"/>
        </w:tabs>
        <w:wordWrap/>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_Toc1523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19</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179E2BF9">
      <w:pPr>
        <w:pStyle w:val="15"/>
        <w:tabs>
          <w:tab w:val="right" w:leader="dot" w:pos="10092"/>
        </w:tabs>
        <w:wordWrap/>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_Toc27030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70</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0A3411A2">
      <w:pPr>
        <w:pStyle w:val="15"/>
        <w:tabs>
          <w:tab w:val="right" w:leader="dot" w:pos="10092"/>
        </w:tabs>
        <w:wordWrap/>
        <w:topLinePunct w:val="0"/>
        <w:bidi w:val="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_Toc11923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72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1E33A168">
      <w:pPr>
        <w:pStyle w:val="16"/>
        <w:tabs>
          <w:tab w:val="right" w:leader="dot" w:pos="10092"/>
        </w:tabs>
        <w:wordWrap/>
        <w:topLinePunct w:val="0"/>
        <w:bidi w:val="0"/>
        <w:spacing w:line="300" w:lineRule="auto"/>
        <w:rPr>
          <w:rFonts w:hint="default" w:ascii="Times New Roman" w:hAnsi="Times New Roman" w:eastAsia="宋体" w:cs="Times New Roman"/>
          <w:color w:val="auto"/>
          <w:highlight w:val="none"/>
        </w:rPr>
      </w:pPr>
    </w:p>
    <w:p w14:paraId="033FEDC7">
      <w:pPr>
        <w:wordWrap/>
        <w:overflowPunct/>
        <w:topLinePunct w:val="0"/>
        <w:bidi w:val="0"/>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p>
    <w:p w14:paraId="289CB121">
      <w:pPr>
        <w:wordWrap/>
        <w:overflowPunct/>
        <w:topLinePunct w:val="0"/>
        <w:bidi w:val="0"/>
        <w:snapToGrid w:val="0"/>
        <w:spacing w:line="300" w:lineRule="auto"/>
        <w:rPr>
          <w:rFonts w:hint="default" w:ascii="Times New Roman" w:hAnsi="Times New Roman" w:eastAsia="宋体" w:cs="Times New Roman"/>
          <w:color w:val="auto"/>
          <w:szCs w:val="21"/>
          <w:highlight w:val="none"/>
        </w:rPr>
        <w:sectPr>
          <w:headerReference r:id="rId3" w:type="default"/>
          <w:footerReference r:id="rId4" w:type="default"/>
          <w:footerReference r:id="rId5" w:type="even"/>
          <w:pgSz w:w="11906" w:h="16838"/>
          <w:pgMar w:top="1440" w:right="1080" w:bottom="1440" w:left="1080" w:header="851" w:footer="992" w:gutter="0"/>
          <w:pgNumType w:start="0"/>
          <w:cols w:space="720" w:num="1"/>
          <w:titlePg/>
          <w:docGrid w:type="lines" w:linePitch="312" w:charSpace="0"/>
        </w:sectPr>
      </w:pPr>
    </w:p>
    <w:bookmarkEnd w:id="1"/>
    <w:p w14:paraId="7715D786">
      <w:pPr>
        <w:pStyle w:val="18"/>
        <w:pageBreakBefore/>
        <w:numPr>
          <w:ilvl w:val="0"/>
          <w:numId w:val="1"/>
        </w:numPr>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7" w:name="_Toc35244866"/>
      <w:bookmarkStart w:id="8" w:name="_Toc54119644"/>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投标邀请</w:t>
      </w:r>
      <w:bookmarkEnd w:id="7"/>
      <w:bookmarkEnd w:id="8"/>
      <w:bookmarkEnd w:id="9"/>
      <w:bookmarkStart w:id="291" w:name="_GoBack"/>
      <w:bookmarkEnd w:id="291"/>
      <w:bookmarkStart w:id="10" w:name="_Toc120614211"/>
    </w:p>
    <w:p w14:paraId="14C643FD">
      <w:pPr>
        <w:widowControl/>
        <w:shd w:val="clear" w:color="auto" w:fill="auto"/>
        <w:wordWrap/>
        <w:overflowPunct/>
        <w:topLinePunct w:val="0"/>
        <w:bidi w:val="0"/>
        <w:spacing w:line="300" w:lineRule="auto"/>
        <w:ind w:firstLine="480" w:firstLineChars="200"/>
        <w:rPr>
          <w:rFonts w:hint="default" w:ascii="Times New Roman" w:hAnsi="Times New Roman" w:eastAsia="宋体" w:cs="Times New Roman"/>
          <w:color w:val="auto"/>
          <w:spacing w:val="8"/>
          <w:kern w:val="0"/>
          <w:sz w:val="24"/>
          <w:szCs w:val="24"/>
          <w:highlight w:val="none"/>
        </w:rPr>
      </w:pPr>
      <w:r>
        <w:rPr>
          <w:rFonts w:hint="eastAsia" w:ascii="Times New Roman" w:hAnsi="Times New Roman" w:cs="Times New Roman"/>
          <w:color w:val="auto"/>
          <w:kern w:val="0"/>
          <w:sz w:val="24"/>
          <w:szCs w:val="24"/>
          <w:highlight w:val="none"/>
          <w:lang w:eastAsia="zh-CN"/>
        </w:rPr>
        <w:t>检验/输血管理系统更新项目</w:t>
      </w:r>
      <w:r>
        <w:rPr>
          <w:rFonts w:hint="default" w:ascii="Times New Roman" w:hAnsi="Times New Roman" w:eastAsia="宋体" w:cs="Times New Roman"/>
          <w:color w:val="auto"/>
          <w:kern w:val="0"/>
          <w:sz w:val="24"/>
          <w:szCs w:val="24"/>
          <w:highlight w:val="none"/>
        </w:rPr>
        <w:t>招标项目的潜在投标人应在</w:t>
      </w:r>
      <w:r>
        <w:rPr>
          <w:rFonts w:hint="eastAsia" w:ascii="Times New Roman" w:hAnsi="Times New Roman"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苏采云</w:t>
      </w:r>
      <w:r>
        <w:rPr>
          <w:rFonts w:hint="eastAsia" w:ascii="Times New Roman" w:hAnsi="Times New Roman"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政府采购一体化平台</w:t>
      </w:r>
      <w:r>
        <w:rPr>
          <w:rFonts w:hint="default" w:ascii="Times New Roman" w:hAnsi="Times New Roman" w:eastAsia="宋体" w:cs="Times New Roman"/>
          <w:color w:val="auto"/>
          <w:kern w:val="0"/>
          <w:sz w:val="24"/>
          <w:szCs w:val="24"/>
          <w:highlight w:val="none"/>
        </w:rPr>
        <w:t>（以下简称</w:t>
      </w:r>
      <w:r>
        <w:rPr>
          <w:rFonts w:hint="eastAsia" w:ascii="Times New Roman" w:hAnsi="Times New Roman"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苏采云</w:t>
      </w:r>
      <w:r>
        <w:rPr>
          <w:rFonts w:hint="eastAsia" w:ascii="Times New Roman" w:hAnsi="Times New Roman"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系统）获取招标文件，并于</w:t>
      </w:r>
      <w:bookmarkStart w:id="11" w:name="EB49bf6e8a132943fba15dfdc1bf3bba75"/>
      <w:r>
        <w:rPr>
          <w:rFonts w:hint="default" w:ascii="Times New Roman" w:hAnsi="Times New Roman" w:eastAsia="宋体" w:cs="Times New Roman"/>
          <w:color w:val="auto"/>
          <w:kern w:val="0"/>
          <w:sz w:val="24"/>
          <w:szCs w:val="24"/>
          <w:highlight w:val="none"/>
          <w:lang w:eastAsia="zh-CN"/>
        </w:rPr>
        <w:t>202</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eastAsia="宋体" w:cs="Times New Roman"/>
          <w:color w:val="auto"/>
          <w:kern w:val="0"/>
          <w:sz w:val="24"/>
          <w:szCs w:val="24"/>
          <w:highlight w:val="none"/>
          <w:lang w:eastAsia="zh-CN"/>
        </w:rPr>
        <w:t>年</w:t>
      </w:r>
      <w:r>
        <w:rPr>
          <w:rFonts w:hint="eastAsia" w:ascii="Times New Roman" w:hAnsi="Times New Roman" w:cs="Times New Roman"/>
          <w:color w:val="auto"/>
          <w:kern w:val="0"/>
          <w:sz w:val="24"/>
          <w:szCs w:val="24"/>
          <w:highlight w:val="none"/>
          <w:lang w:val="en-US" w:eastAsia="zh-CN"/>
        </w:rPr>
        <w:t>01</w:t>
      </w:r>
      <w:r>
        <w:rPr>
          <w:rFonts w:hint="default" w:ascii="Times New Roman" w:hAnsi="Times New Roman" w:eastAsia="宋体" w:cs="Times New Roman"/>
          <w:color w:val="auto"/>
          <w:kern w:val="0"/>
          <w:sz w:val="24"/>
          <w:szCs w:val="24"/>
          <w:highlight w:val="none"/>
          <w:lang w:eastAsia="zh-CN"/>
        </w:rPr>
        <w:t>月</w:t>
      </w:r>
      <w:r>
        <w:rPr>
          <w:rFonts w:hint="eastAsia" w:ascii="Times New Roman" w:hAnsi="Times New Roman" w:cs="Times New Roman"/>
          <w:color w:val="auto"/>
          <w:kern w:val="0"/>
          <w:sz w:val="24"/>
          <w:szCs w:val="24"/>
          <w:highlight w:val="none"/>
          <w:lang w:val="en-US" w:eastAsia="zh-CN"/>
        </w:rPr>
        <w:t>16</w:t>
      </w:r>
      <w:r>
        <w:rPr>
          <w:rFonts w:hint="default" w:ascii="Times New Roman" w:hAnsi="Times New Roman" w:eastAsia="宋体" w:cs="Times New Roman"/>
          <w:color w:val="auto"/>
          <w:kern w:val="0"/>
          <w:sz w:val="24"/>
          <w:szCs w:val="24"/>
          <w:highlight w:val="none"/>
        </w:rPr>
        <w:t>日 14</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00</w:t>
      </w:r>
      <w:bookmarkEnd w:id="11"/>
      <w:r>
        <w:rPr>
          <w:rFonts w:hint="default" w:ascii="Times New Roman" w:hAnsi="Times New Roman" w:eastAsia="宋体" w:cs="Times New Roman"/>
          <w:color w:val="auto"/>
          <w:kern w:val="0"/>
          <w:sz w:val="24"/>
          <w:szCs w:val="24"/>
          <w:highlight w:val="none"/>
        </w:rPr>
        <w:t>（北京时间）前递交投标文件。</w:t>
      </w:r>
    </w:p>
    <w:p w14:paraId="2A57C163">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一、项目基本情况</w:t>
      </w:r>
    </w:p>
    <w:p w14:paraId="2FB86C5B">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项目编号：</w:t>
      </w:r>
      <w:r>
        <w:rPr>
          <w:rFonts w:hint="eastAsia" w:ascii="Times New Roman" w:hAnsi="Times New Roman" w:cs="Times New Roman"/>
          <w:color w:val="auto"/>
          <w:spacing w:val="8"/>
          <w:kern w:val="0"/>
          <w:sz w:val="24"/>
          <w:highlight w:val="none"/>
          <w:lang w:val="en-US" w:eastAsia="zh-CN"/>
        </w:rPr>
        <w:t xml:space="preserve">JSZC-320582-SKSK-G2025-0013 </w:t>
      </w:r>
    </w:p>
    <w:p w14:paraId="54EAD61D">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项目名称：</w:t>
      </w:r>
      <w:r>
        <w:rPr>
          <w:rFonts w:hint="eastAsia" w:ascii="Times New Roman" w:hAnsi="Times New Roman" w:cs="Times New Roman"/>
          <w:color w:val="auto"/>
          <w:spacing w:val="8"/>
          <w:kern w:val="0"/>
          <w:sz w:val="24"/>
          <w:highlight w:val="none"/>
          <w:lang w:eastAsia="zh-CN"/>
        </w:rPr>
        <w:t>检验/输血管理系统更新项目</w:t>
      </w:r>
    </w:p>
    <w:p w14:paraId="7892491F">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szCs w:val="24"/>
          <w:highlight w:val="none"/>
          <w:lang w:val="en-US"/>
        </w:rPr>
      </w:pPr>
      <w:r>
        <w:rPr>
          <w:rFonts w:hint="default" w:ascii="Times New Roman" w:hAnsi="Times New Roman" w:eastAsia="宋体" w:cs="Times New Roman"/>
          <w:color w:val="auto"/>
          <w:spacing w:val="8"/>
          <w:kern w:val="0"/>
          <w:sz w:val="24"/>
          <w:highlight w:val="none"/>
        </w:rPr>
        <w:t>预算金额：</w:t>
      </w:r>
      <w:r>
        <w:rPr>
          <w:rFonts w:hint="default" w:ascii="Times New Roman" w:hAnsi="Times New Roman" w:eastAsia="宋体" w:cs="Times New Roman"/>
          <w:color w:val="auto"/>
          <w:spacing w:val="8"/>
          <w:kern w:val="0"/>
          <w:sz w:val="24"/>
          <w:szCs w:val="24"/>
          <w:highlight w:val="none"/>
          <w:lang w:val="en-US" w:eastAsia="zh-CN"/>
        </w:rPr>
        <w:t>980000元</w:t>
      </w:r>
    </w:p>
    <w:p w14:paraId="672CC150">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rPr>
      </w:pPr>
      <w:r>
        <w:rPr>
          <w:rFonts w:hint="default" w:ascii="Times New Roman" w:hAnsi="Times New Roman" w:eastAsia="宋体" w:cs="Times New Roman"/>
          <w:color w:val="auto"/>
          <w:spacing w:val="8"/>
          <w:kern w:val="0"/>
          <w:sz w:val="24"/>
          <w:highlight w:val="none"/>
        </w:rPr>
        <w:t>最高限价：</w:t>
      </w:r>
      <w:r>
        <w:rPr>
          <w:rFonts w:hint="default" w:ascii="Times New Roman" w:hAnsi="Times New Roman" w:eastAsia="宋体" w:cs="Times New Roman"/>
          <w:color w:val="auto"/>
          <w:spacing w:val="8"/>
          <w:kern w:val="0"/>
          <w:sz w:val="24"/>
          <w:szCs w:val="24"/>
          <w:highlight w:val="none"/>
          <w:lang w:val="en-US" w:eastAsia="zh-CN"/>
        </w:rPr>
        <w:t>980000元</w:t>
      </w:r>
    </w:p>
    <w:p w14:paraId="76F2745C">
      <w:pPr>
        <w:widowControl/>
        <w:shd w:val="clear" w:color="auto" w:fill="auto"/>
        <w:wordWrap/>
        <w:overflowPunct/>
        <w:topLinePunct w:val="0"/>
        <w:bidi w:val="0"/>
        <w:spacing w:line="300" w:lineRule="auto"/>
        <w:ind w:firstLine="555"/>
        <w:rPr>
          <w:rFonts w:hint="default" w:ascii="Times New Roman" w:hAnsi="Times New Roman" w:eastAsia="宋体" w:cs="Times New Roman"/>
          <w:b w:val="0"/>
          <w:bCs w:val="0"/>
          <w:strike w:val="0"/>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采购需求：</w:t>
      </w:r>
      <w:r>
        <w:rPr>
          <w:rFonts w:hint="default" w:ascii="Times New Roman" w:hAnsi="Times New Roman" w:eastAsia="宋体" w:cs="Times New Roman"/>
          <w:b w:val="0"/>
          <w:bCs w:val="0"/>
          <w:strike w:val="0"/>
          <w:dstrike w:val="0"/>
          <w:color w:val="auto"/>
          <w:spacing w:val="8"/>
          <w:kern w:val="0"/>
          <w:sz w:val="24"/>
          <w:highlight w:val="none"/>
          <w:lang w:val="en-US" w:eastAsia="zh-CN"/>
        </w:rPr>
        <w:t>详见第四章项目需求</w:t>
      </w:r>
      <w:r>
        <w:rPr>
          <w:rFonts w:hint="default" w:ascii="Times New Roman" w:hAnsi="Times New Roman" w:eastAsia="宋体" w:cs="Times New Roman"/>
          <w:b w:val="0"/>
          <w:bCs w:val="0"/>
          <w:strike w:val="0"/>
          <w:dstrike w:val="0"/>
          <w:color w:val="auto"/>
          <w:spacing w:val="8"/>
          <w:kern w:val="0"/>
          <w:sz w:val="24"/>
          <w:highlight w:val="none"/>
          <w:lang w:eastAsia="zh-CN"/>
        </w:rPr>
        <w:t>。</w:t>
      </w:r>
    </w:p>
    <w:p w14:paraId="7FB1BC26">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eastAsia="zh-CN"/>
        </w:rPr>
      </w:pPr>
      <w:r>
        <w:rPr>
          <w:rFonts w:hint="default" w:ascii="Times New Roman" w:hAnsi="Times New Roman" w:eastAsia="宋体" w:cs="Times New Roman"/>
          <w:color w:val="auto"/>
          <w:spacing w:val="8"/>
          <w:kern w:val="0"/>
          <w:sz w:val="24"/>
          <w:highlight w:val="none"/>
        </w:rPr>
        <w:t>合同履行期限：自合同签订之日起3个月内完成项目实施，软件系统提供不少于</w:t>
      </w:r>
      <w:r>
        <w:rPr>
          <w:rFonts w:hint="eastAsia" w:ascii="Times New Roman" w:hAnsi="Times New Roman" w:eastAsia="宋体" w:cs="Times New Roman"/>
          <w:color w:val="auto"/>
          <w:spacing w:val="8"/>
          <w:kern w:val="0"/>
          <w:sz w:val="24"/>
          <w:highlight w:val="none"/>
          <w:lang w:val="en-US" w:eastAsia="zh-CN"/>
        </w:rPr>
        <w:t>3</w:t>
      </w:r>
      <w:r>
        <w:rPr>
          <w:rFonts w:hint="default" w:ascii="Times New Roman" w:hAnsi="Times New Roman" w:eastAsia="宋体" w:cs="Times New Roman"/>
          <w:color w:val="auto"/>
          <w:spacing w:val="8"/>
          <w:kern w:val="0"/>
          <w:sz w:val="24"/>
          <w:highlight w:val="none"/>
        </w:rPr>
        <w:t>年的免费维保服务</w:t>
      </w:r>
      <w:r>
        <w:rPr>
          <w:rFonts w:hint="default" w:ascii="Times New Roman" w:hAnsi="Times New Roman" w:eastAsia="宋体" w:cs="Times New Roman"/>
          <w:color w:val="auto"/>
          <w:spacing w:val="8"/>
          <w:kern w:val="0"/>
          <w:sz w:val="24"/>
          <w:highlight w:val="none"/>
          <w:lang w:val="en-US" w:eastAsia="zh-CN"/>
        </w:rPr>
        <w:t>。</w:t>
      </w:r>
    </w:p>
    <w:p w14:paraId="4E47A1C8">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w:t>
      </w:r>
      <w:bookmarkStart w:id="12" w:name="EB43e22fc7b3ec4c6ab41cadcaa583bb1d"/>
      <w:r>
        <w:rPr>
          <w:rFonts w:hint="default" w:ascii="Times New Roman" w:hAnsi="Times New Roman" w:eastAsia="宋体" w:cs="Times New Roman"/>
          <w:i/>
          <w:color w:val="auto"/>
          <w:spacing w:val="8"/>
          <w:kern w:val="0"/>
          <w:sz w:val="24"/>
          <w:highlight w:val="none"/>
          <w:u w:val="single"/>
        </w:rPr>
        <w:t>不接受</w:t>
      </w:r>
      <w:bookmarkEnd w:id="12"/>
      <w:r>
        <w:rPr>
          <w:rFonts w:hint="default" w:ascii="Times New Roman" w:hAnsi="Times New Roman" w:eastAsia="宋体" w:cs="Times New Roman"/>
          <w:i/>
          <w:color w:val="auto"/>
          <w:spacing w:val="8"/>
          <w:kern w:val="0"/>
          <w:sz w:val="24"/>
          <w:highlight w:val="none"/>
          <w:u w:val="single"/>
        </w:rPr>
        <w:t>联合体投标。</w:t>
      </w:r>
    </w:p>
    <w:p w14:paraId="46C55C40">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二、申请人的资格要求：</w:t>
      </w:r>
    </w:p>
    <w:p w14:paraId="1736FACD">
      <w:pPr>
        <w:wordWrap/>
        <w:topLinePunct w:val="0"/>
        <w:bidi w:val="0"/>
        <w:spacing w:beforeLines="0" w:afterLines="0" w:line="300" w:lineRule="auto"/>
        <w:ind w:firstLine="252" w:firstLineChars="100"/>
        <w:jc w:val="left"/>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lang w:eastAsia="zh-CN"/>
        </w:rPr>
        <w:t>（</w:t>
      </w:r>
      <w:r>
        <w:rPr>
          <w:rFonts w:hint="default" w:ascii="Times New Roman" w:hAnsi="Times New Roman" w:eastAsia="宋体" w:cs="Times New Roman"/>
          <w:color w:val="auto"/>
          <w:spacing w:val="6"/>
          <w:sz w:val="24"/>
          <w:szCs w:val="24"/>
          <w:highlight w:val="none"/>
          <w:lang w:val="en-US" w:eastAsia="zh-CN"/>
        </w:rPr>
        <w:t>一</w:t>
      </w:r>
      <w:r>
        <w:rPr>
          <w:rFonts w:hint="default" w:ascii="Times New Roman" w:hAnsi="Times New Roman" w:eastAsia="宋体" w:cs="Times New Roman"/>
          <w:color w:val="auto"/>
          <w:spacing w:val="6"/>
          <w:sz w:val="24"/>
          <w:szCs w:val="24"/>
          <w:highlight w:val="none"/>
          <w:lang w:eastAsia="zh-CN"/>
        </w:rPr>
        <w:t>）</w:t>
      </w:r>
      <w:r>
        <w:rPr>
          <w:rFonts w:hint="default" w:ascii="Times New Roman" w:hAnsi="Times New Roman" w:eastAsia="宋体" w:cs="Times New Roman"/>
          <w:color w:val="auto"/>
          <w:spacing w:val="6"/>
          <w:sz w:val="24"/>
          <w:szCs w:val="24"/>
          <w:highlight w:val="none"/>
        </w:rPr>
        <w:t>满足《中华人民共和国政府采购法》第二十二条规定：</w:t>
      </w:r>
    </w:p>
    <w:p w14:paraId="50AC4490">
      <w:pPr>
        <w:pStyle w:val="17"/>
        <w:widowControl/>
        <w:kinsoku/>
        <w:wordWrap/>
        <w:overflowPunct/>
        <w:topLinePunct w:val="0"/>
        <w:autoSpaceDE/>
        <w:autoSpaceDN/>
        <w:bidi w:val="0"/>
        <w:spacing w:beforeAutospacing="0" w:afterAutospacing="0" w:line="300" w:lineRule="auto"/>
        <w:ind w:firstLine="480" w:firstLineChars="20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1</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975F854">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2</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财务状况报告（成立不满一年不需提供）</w:t>
      </w:r>
    </w:p>
    <w:p w14:paraId="5762C084">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3</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依法缴纳税收和社会保障资金的相关材料</w:t>
      </w:r>
    </w:p>
    <w:p w14:paraId="2E6E38C6">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4</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具备履行合同所必需的设备和专业技术能力的书面声明</w:t>
      </w:r>
    </w:p>
    <w:p w14:paraId="6A6C2DBA">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5</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参加政府采购活动前3年内在经营活动中没有重大违法记录的书面声明</w:t>
      </w:r>
    </w:p>
    <w:p w14:paraId="2EAF6F25">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6</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授权委托书</w:t>
      </w:r>
    </w:p>
    <w:p w14:paraId="32245E09">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pacing w:val="6"/>
          <w:sz w:val="24"/>
          <w:szCs w:val="24"/>
          <w:highlight w:val="none"/>
          <w:lang w:eastAsia="zh-CN"/>
        </w:rPr>
      </w:pPr>
      <w:r>
        <w:rPr>
          <w:rFonts w:hint="default" w:ascii="Times New Roman" w:hAnsi="Times New Roman" w:eastAsia="宋体" w:cs="Times New Roman"/>
          <w:color w:val="auto"/>
          <w:szCs w:val="24"/>
          <w:highlight w:val="none"/>
        </w:rPr>
        <w:t>7</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资格证明文件的书面承诺</w:t>
      </w:r>
    </w:p>
    <w:p w14:paraId="2397D08E">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lang w:val="en-US" w:eastAsia="zh-CN"/>
        </w:rPr>
        <w:t>二</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落实政府采购政策需满足的资格要求</w:t>
      </w:r>
      <w:r>
        <w:rPr>
          <w:rFonts w:hint="default" w:ascii="Times New Roman" w:hAnsi="Times New Roman" w:eastAsia="宋体" w:cs="Times New Roman"/>
          <w:color w:val="auto"/>
          <w:spacing w:val="8"/>
          <w:kern w:val="0"/>
          <w:sz w:val="24"/>
          <w:highlight w:val="none"/>
          <w:lang w:eastAsia="zh-CN"/>
        </w:rPr>
        <w:t>：</w:t>
      </w:r>
    </w:p>
    <w:p w14:paraId="76082494">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color w:val="auto"/>
          <w:spacing w:val="8"/>
          <w:kern w:val="0"/>
          <w:sz w:val="24"/>
          <w:highlight w:val="none"/>
          <w:lang w:val="en-US" w:eastAsia="zh-CN"/>
        </w:rPr>
      </w:pPr>
      <w:r>
        <w:rPr>
          <w:rFonts w:hint="eastAsia" w:ascii="Times New Roman" w:hAnsi="Times New Roman" w:cs="Times New Roman"/>
          <w:color w:val="auto"/>
          <w:spacing w:val="8"/>
          <w:kern w:val="0"/>
          <w:sz w:val="24"/>
          <w:highlight w:val="none"/>
          <w:lang w:val="en-US" w:eastAsia="zh-CN"/>
        </w:rPr>
        <w:t>无</w:t>
      </w:r>
    </w:p>
    <w:p w14:paraId="0151C405">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lang w:val="en-US" w:eastAsia="zh-CN"/>
        </w:rPr>
        <w:t>三</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本项目的特定资格要求：</w:t>
      </w:r>
    </w:p>
    <w:p w14:paraId="567703EC">
      <w:pPr>
        <w:keepNext w:val="0"/>
        <w:keepLines w:val="0"/>
        <w:pageBreakBefore w:val="0"/>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1．单位负责人为同一人或者存在直接控股、管理关系的不同供应商，不得参加同一合同下的采购活动；（提供承诺函）</w:t>
      </w:r>
    </w:p>
    <w:p w14:paraId="4B8B876A">
      <w:pPr>
        <w:keepNext w:val="0"/>
        <w:keepLines w:val="0"/>
        <w:pageBreakBefore w:val="0"/>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color w:val="auto"/>
          <w:kern w:val="0"/>
          <w:sz w:val="24"/>
          <w:szCs w:val="24"/>
          <w:highlight w:val="none"/>
          <w:lang w:val="en-US" w:eastAsia="zh-CN" w:bidi="ar"/>
        </w:rPr>
      </w:pPr>
      <w:r>
        <w:rPr>
          <w:rFonts w:hint="eastAsia" w:ascii="Times New Roman" w:hAnsi="Times New Roman" w:eastAsia="宋体" w:cs="Times New Roman"/>
          <w:color w:val="auto"/>
          <w:kern w:val="0"/>
          <w:sz w:val="24"/>
          <w:szCs w:val="24"/>
          <w:highlight w:val="none"/>
          <w:lang w:val="en-US" w:eastAsia="zh-CN" w:bidi="ar"/>
        </w:rPr>
        <w:t>2</w:t>
      </w:r>
      <w:r>
        <w:rPr>
          <w:rFonts w:hint="default" w:ascii="Times New Roman" w:hAnsi="Times New Roman" w:eastAsia="宋体" w:cs="Times New Roman"/>
          <w:color w:val="auto"/>
          <w:kern w:val="0"/>
          <w:sz w:val="24"/>
          <w:szCs w:val="24"/>
          <w:highlight w:val="none"/>
          <w:lang w:val="en-US" w:eastAsia="zh-CN" w:bidi="ar"/>
        </w:rPr>
        <w:t>．未被</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信用中国</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网站（www.creditchina.gov.cn）列入失信被执行人、重大税收违法案件当事人名单、政府采购严重失信行为记录名单。</w:t>
      </w:r>
    </w:p>
    <w:p w14:paraId="4FF42F9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三、获取招标文件</w:t>
      </w:r>
    </w:p>
    <w:p w14:paraId="30A4284E">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时间：</w:t>
      </w:r>
      <w:r>
        <w:rPr>
          <w:rFonts w:hint="eastAsia" w:ascii="Times New Roman" w:hAnsi="Times New Roman" w:eastAsia="宋体" w:cs="Times New Roman"/>
          <w:color w:val="auto"/>
          <w:szCs w:val="24"/>
          <w:highlight w:val="none"/>
          <w:lang w:val="en-US" w:eastAsia="zh-CN"/>
        </w:rPr>
        <w:t>自挂网之日起</w:t>
      </w:r>
      <w:r>
        <w:rPr>
          <w:rFonts w:hint="default" w:ascii="Times New Roman" w:hAnsi="Times New Roman" w:eastAsia="宋体" w:cs="Times New Roman"/>
          <w:color w:val="auto"/>
          <w:szCs w:val="24"/>
          <w:highlight w:val="none"/>
        </w:rPr>
        <w:t>至 </w:t>
      </w:r>
      <w:bookmarkStart w:id="13" w:name="EB0c87f03174494a9681e9fae7497a4017"/>
      <w:r>
        <w:rPr>
          <w:rFonts w:hint="default" w:ascii="Times New Roman" w:hAnsi="Times New Roman" w:eastAsia="宋体" w:cs="Times New Roman"/>
          <w:color w:val="auto"/>
          <w:szCs w:val="24"/>
          <w:highlight w:val="none"/>
        </w:rPr>
        <w:t>20</w:t>
      </w:r>
      <w:r>
        <w:rPr>
          <w:rFonts w:hint="default" w:ascii="Times New Roman" w:hAnsi="Times New Roman" w:eastAsia="宋体" w:cs="Times New Roman"/>
          <w:color w:val="auto"/>
          <w:szCs w:val="24"/>
          <w:highlight w:val="none"/>
          <w:lang w:val="en-US" w:eastAsia="zh-CN"/>
        </w:rPr>
        <w:t>2</w:t>
      </w:r>
      <w:r>
        <w:rPr>
          <w:rFonts w:hint="eastAsia" w:ascii="Times New Roman" w:hAnsi="Times New Roman" w:cs="Times New Roman"/>
          <w:color w:val="auto"/>
          <w:szCs w:val="24"/>
          <w:highlight w:val="none"/>
          <w:lang w:val="en-US" w:eastAsia="zh-CN"/>
        </w:rPr>
        <w:t>6</w:t>
      </w:r>
      <w:r>
        <w:rPr>
          <w:rFonts w:hint="default" w:ascii="Times New Roman" w:hAnsi="Times New Roman" w:eastAsia="宋体" w:cs="Times New Roman"/>
          <w:color w:val="auto"/>
          <w:szCs w:val="24"/>
          <w:highlight w:val="none"/>
        </w:rPr>
        <w:t>年</w:t>
      </w:r>
      <w:r>
        <w:rPr>
          <w:rFonts w:hint="eastAsia" w:ascii="Times New Roman" w:hAnsi="Times New Roman" w:cs="Times New Roman"/>
          <w:color w:val="auto"/>
          <w:szCs w:val="24"/>
          <w:highlight w:val="none"/>
          <w:lang w:val="en-US" w:eastAsia="zh-CN"/>
        </w:rPr>
        <w:t>01</w:t>
      </w:r>
      <w:r>
        <w:rPr>
          <w:rFonts w:hint="default" w:ascii="Times New Roman" w:hAnsi="Times New Roman" w:eastAsia="宋体" w:cs="Times New Roman"/>
          <w:color w:val="auto"/>
          <w:szCs w:val="24"/>
          <w:highlight w:val="none"/>
          <w:lang w:val="en-US" w:eastAsia="zh-CN"/>
        </w:rPr>
        <w:t>月</w:t>
      </w:r>
      <w:r>
        <w:rPr>
          <w:rFonts w:hint="eastAsia" w:ascii="Times New Roman" w:hAnsi="Times New Roman" w:cs="Times New Roman"/>
          <w:color w:val="auto"/>
          <w:szCs w:val="24"/>
          <w:highlight w:val="none"/>
          <w:lang w:val="en-US" w:eastAsia="zh-CN"/>
        </w:rPr>
        <w:t>05</w:t>
      </w:r>
      <w:r>
        <w:rPr>
          <w:rFonts w:hint="default" w:ascii="Times New Roman" w:hAnsi="Times New Roman" w:eastAsia="宋体" w:cs="Times New Roman"/>
          <w:color w:val="auto"/>
          <w:szCs w:val="24"/>
          <w:highlight w:val="none"/>
        </w:rPr>
        <w:t>日</w:t>
      </w:r>
      <w:bookmarkEnd w:id="13"/>
    </w:p>
    <w:p w14:paraId="25A741BB">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地点：在</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系统自行免费下载招标文件。</w:t>
      </w:r>
    </w:p>
    <w:p w14:paraId="4F25F373">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式：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06F495D">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本项目获取招标文件截止日期之后仍可以下载招标文件，但截止日期之后下载的招标文件，视为非有效方式且不作为供应商权益受到损害的证明材料和依据。</w:t>
      </w:r>
    </w:p>
    <w:p w14:paraId="0772E0FE">
      <w:pPr>
        <w:pBdr>
          <w:top w:val="none" w:color="000000" w:sz="0" w:space="0"/>
          <w:left w:val="none" w:color="000000" w:sz="0" w:space="0"/>
          <w:bottom w:val="none" w:color="000000" w:sz="0" w:space="0"/>
          <w:right w:val="none" w:color="000000" w:sz="0" w:space="0"/>
        </w:pBdr>
        <w:shd w:val="clear" w:color="FFFFFF" w:fill="auto"/>
        <w:wordWrap/>
        <w:overflowPunct/>
        <w:topLinePunct w:val="0"/>
        <w:bidi w:val="0"/>
        <w:spacing w:before="0" w:after="0" w:line="300" w:lineRule="auto"/>
        <w:ind w:left="0" w:right="0" w:firstLine="480"/>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spacing w:val="8"/>
          <w:kern w:val="0"/>
          <w:sz w:val="24"/>
          <w:highlight w:val="none"/>
        </w:rPr>
        <w:t>本项目不接受现场获取招标文件</w:t>
      </w:r>
      <w:r>
        <w:rPr>
          <w:rFonts w:hint="default" w:ascii="Times New Roman" w:hAnsi="Times New Roman" w:eastAsia="宋体" w:cs="Times New Roman"/>
          <w:color w:val="auto"/>
          <w:spacing w:val="8"/>
          <w:kern w:val="0"/>
          <w:sz w:val="24"/>
          <w:highlight w:val="none"/>
        </w:rPr>
        <w:t>。</w:t>
      </w:r>
    </w:p>
    <w:p w14:paraId="7EAC6BDE">
      <w:pPr>
        <w:widowControl/>
        <w:shd w:val="clear" w:color="auto" w:fill="auto"/>
        <w:wordWrap/>
        <w:overflowPunct/>
        <w:topLinePunct w:val="0"/>
        <w:bidi w:val="0"/>
        <w:spacing w:line="300" w:lineRule="auto"/>
        <w:ind w:firstLine="540"/>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售价：无</w:t>
      </w:r>
    </w:p>
    <w:p w14:paraId="3887DE88">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四、提交投标文件截止时间、开标时间和地点</w:t>
      </w:r>
    </w:p>
    <w:p w14:paraId="2C63CA2C">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bookmarkStart w:id="14" w:name="EB47b1af47eddb4c2d87568ed0f320c968"/>
      <w:r>
        <w:rPr>
          <w:rFonts w:hint="default" w:ascii="Times New Roman" w:hAnsi="Times New Roman" w:eastAsia="宋体" w:cs="Times New Roman"/>
          <w:color w:val="auto"/>
          <w:spacing w:val="8"/>
          <w:kern w:val="0"/>
          <w:sz w:val="24"/>
          <w:highlight w:val="none"/>
        </w:rPr>
        <w:t>202</w:t>
      </w:r>
      <w:r>
        <w:rPr>
          <w:rFonts w:hint="eastAsia" w:ascii="Times New Roman" w:hAnsi="Times New Roman" w:cs="Times New Roman"/>
          <w:color w:val="auto"/>
          <w:spacing w:val="8"/>
          <w:kern w:val="0"/>
          <w:sz w:val="24"/>
          <w:highlight w:val="none"/>
          <w:lang w:val="en-US" w:eastAsia="zh-CN"/>
        </w:rPr>
        <w:t>6年01</w:t>
      </w:r>
      <w:r>
        <w:rPr>
          <w:rFonts w:hint="default" w:ascii="Times New Roman" w:hAnsi="Times New Roman" w:eastAsia="宋体" w:cs="Times New Roman"/>
          <w:color w:val="auto"/>
          <w:spacing w:val="8"/>
          <w:kern w:val="0"/>
          <w:sz w:val="24"/>
          <w:highlight w:val="none"/>
          <w:lang w:val="en-US" w:eastAsia="zh-CN"/>
        </w:rPr>
        <w:t>月</w:t>
      </w:r>
      <w:r>
        <w:rPr>
          <w:rFonts w:hint="eastAsia" w:ascii="Times New Roman" w:hAnsi="Times New Roman" w:cs="Times New Roman"/>
          <w:color w:val="auto"/>
          <w:spacing w:val="8"/>
          <w:kern w:val="0"/>
          <w:sz w:val="24"/>
          <w:highlight w:val="none"/>
          <w:lang w:val="en-US" w:eastAsia="zh-CN"/>
        </w:rPr>
        <w:t>16</w:t>
      </w:r>
      <w:r>
        <w:rPr>
          <w:rFonts w:hint="default" w:ascii="Times New Roman" w:hAnsi="Times New Roman" w:eastAsia="宋体" w:cs="Times New Roman"/>
          <w:color w:val="auto"/>
          <w:spacing w:val="8"/>
          <w:kern w:val="0"/>
          <w:sz w:val="24"/>
          <w:highlight w:val="none"/>
        </w:rPr>
        <w:t>日</w:t>
      </w:r>
      <w:r>
        <w:rPr>
          <w:rFonts w:hint="eastAsia" w:ascii="Times New Roman" w:hAnsi="Times New Roman" w:cs="Times New Roman"/>
          <w:color w:val="auto"/>
          <w:spacing w:val="8"/>
          <w:kern w:val="0"/>
          <w:sz w:val="24"/>
          <w:highlight w:val="none"/>
          <w:lang w:val="en-US" w:eastAsia="zh-CN"/>
        </w:rPr>
        <w:t>14</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00</w:t>
      </w:r>
      <w:bookmarkEnd w:id="14"/>
      <w:r>
        <w:rPr>
          <w:rFonts w:hint="default" w:ascii="Times New Roman" w:hAnsi="Times New Roman" w:eastAsia="宋体" w:cs="Times New Roman"/>
          <w:color w:val="auto"/>
          <w:spacing w:val="8"/>
          <w:kern w:val="0"/>
          <w:sz w:val="24"/>
          <w:highlight w:val="none"/>
        </w:rPr>
        <w:t>（北京时间）</w:t>
      </w:r>
    </w:p>
    <w:p w14:paraId="07AF6842">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地点：苏采云系统网上开标大厅</w:t>
      </w:r>
    </w:p>
    <w:p w14:paraId="709E615C">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现场地址：张家港市杨舍镇滨河路1号（国泰金融广场C座8楼、9楼开标室）</w:t>
      </w:r>
    </w:p>
    <w:p w14:paraId="36CA9F0C">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本项目采用不见面开标，供应商登录</w:t>
      </w:r>
      <w:r>
        <w:rPr>
          <w:rFonts w:hint="eastAsia" w:ascii="Times New Roman" w:hAnsi="Times New Roman"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eastAsia" w:ascii="Times New Roman" w:hAnsi="Times New Roman"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系统在平台首页点击</w:t>
      </w:r>
      <w:r>
        <w:rPr>
          <w:rFonts w:hint="eastAsia" w:ascii="Times New Roman" w:hAnsi="Times New Roman"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开标大厅</w:t>
      </w:r>
      <w:r>
        <w:rPr>
          <w:rFonts w:hint="eastAsia" w:ascii="Times New Roman" w:hAnsi="Times New Roman"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，进入江苏省政府采购一体化不见面开标（采购）大厅，在今日项目列表，点击项目，进入不见面开标系统。</w:t>
      </w:r>
    </w:p>
    <w:p w14:paraId="48F56C28">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五、公告期限</w:t>
      </w:r>
    </w:p>
    <w:p w14:paraId="7ABEFD84">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自本公告发布之日起5个工作日。</w:t>
      </w:r>
    </w:p>
    <w:p w14:paraId="3FFDEB2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六、其他补充事宜</w:t>
      </w:r>
    </w:p>
    <w:p w14:paraId="0BBC9FAE">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1．CA证书办理</w:t>
      </w:r>
    </w:p>
    <w:p w14:paraId="7DC0810D">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苏采云</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系统登录界面中的</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新CA办理指南</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苏采云</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系统目前仅支持“苏采云”系统下的政务CA证书，江苏省内各地区办理的“苏采云”系统下的政务CA证书全省通用。</w:t>
      </w:r>
      <w:r>
        <w:rPr>
          <w:rFonts w:hint="default" w:ascii="Times New Roman" w:hAnsi="Times New Roman" w:eastAsia="宋体" w:cs="Times New Roman"/>
          <w:color w:val="auto"/>
          <w:szCs w:val="24"/>
          <w:highlight w:val="none"/>
          <w:lang w:val="en-US" w:eastAsia="zh-CN"/>
        </w:rPr>
        <w:t>苏州现场办理地址：苏州市高新区邓尉路105号狮山科技馆一楼服务大厅，咨询电话：0512</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6573 7699。</w:t>
      </w:r>
    </w:p>
    <w:p w14:paraId="26DCCEC8">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参与采购活动</w:t>
      </w:r>
    </w:p>
    <w:p w14:paraId="1B6D28AB">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供应商插入CA证书登陆</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苏采云</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rPr>
        <w:t>系统后选择具体项目，点击</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我要参与</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并签章提交《投标供应商确认函》，提交《投标供应商确认函》日期视同为依法获取招标文件日期。未依照招标公告要求提交《投标供应商确认函》的供应商，视为未参与该项政府采购活动。</w:t>
      </w:r>
    </w:p>
    <w:p w14:paraId="58F8EE5D">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3．</w:t>
      </w:r>
      <w:r>
        <w:rPr>
          <w:rFonts w:hint="default" w:ascii="Times New Roman" w:hAnsi="Times New Roman" w:eastAsia="宋体" w:cs="Times New Roman"/>
          <w:color w:val="auto"/>
          <w:szCs w:val="24"/>
          <w:highlight w:val="none"/>
        </w:rPr>
        <w:t>电子投标准备</w:t>
      </w:r>
    </w:p>
    <w:p w14:paraId="4CE67795">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w:t>
      </w:r>
    </w:p>
    <w:p w14:paraId="48AE96A6">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在系统操作过程中如有疑问，请按以下方式联系：</w:t>
      </w:r>
    </w:p>
    <w:p w14:paraId="34FC2084">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注册咨询：18261002950；</w:t>
      </w:r>
    </w:p>
    <w:p w14:paraId="496CAA01">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CA技术咨询电话：400-608-6099；</w:t>
      </w:r>
    </w:p>
    <w:p w14:paraId="59AAFB04">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签章使用问题：025-83633811、025-83633812、15380932027、15371015030；</w:t>
      </w:r>
    </w:p>
    <w:p w14:paraId="574FA9C3">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系统使用指导与咨询：18261002950、0512-69820854；QQ：3048755361、1315179389、895706745。</w:t>
      </w:r>
    </w:p>
    <w:p w14:paraId="79C56D2B">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14:paraId="3B82A470">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5．线上参加开标（开启）会方式：供应商登录</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eastAsia"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系统在平台首页点击</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开标大厅</w:t>
      </w:r>
      <w:r>
        <w:rPr>
          <w:rFonts w:hint="eastAsia" w:ascii="Times New Roman" w:hAnsi="Times New Roman" w:eastAsia="宋体"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1CD4E066">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请供应商确保电脑、系统及其他设备（视频输入输出设备等）无误，且开标直至项目结束始终保持系统在线状态。</w:t>
      </w:r>
    </w:p>
    <w:p w14:paraId="1A8F5B0B">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6．招标文件澄清或者修改内容的告知方式：招标文件的实质性变动或修改将在政府采购公告媒体网通知，投标人可自行下载。</w:t>
      </w:r>
    </w:p>
    <w:p w14:paraId="5D3DB5C9">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7．本次招标不收取投标保证金。</w:t>
      </w:r>
    </w:p>
    <w:p w14:paraId="3CDB2E34">
      <w:pPr>
        <w:widowControl/>
        <w:shd w:val="clear" w:color="auto" w:fill="auto"/>
        <w:wordWrap/>
        <w:overflowPunct/>
        <w:topLinePunct w:val="0"/>
        <w:bidi w:val="0"/>
        <w:spacing w:line="300" w:lineRule="auto"/>
        <w:jc w:val="left"/>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七、对本次招标提出询问，请按以下方式联系</w:t>
      </w:r>
    </w:p>
    <w:p w14:paraId="6A84D3D7">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1．采购人信息</w:t>
      </w:r>
    </w:p>
    <w:p w14:paraId="4371EF00">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名称：张家港市第一人民医院</w:t>
      </w:r>
    </w:p>
    <w:p w14:paraId="2769F835">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 张家港市暨阳西路68号</w:t>
      </w:r>
    </w:p>
    <w:p w14:paraId="201DDEE9">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w:t>
      </w:r>
      <w:r>
        <w:rPr>
          <w:rFonts w:hint="eastAsia" w:ascii="Times New Roman" w:hAnsi="Times New Roman" w:eastAsia="宋体" w:cs="Times New Roman"/>
          <w:color w:val="auto"/>
          <w:szCs w:val="24"/>
          <w:highlight w:val="none"/>
          <w:lang w:val="en-US" w:eastAsia="zh-CN"/>
        </w:rPr>
        <w:t>张语桐</w:t>
      </w:r>
      <w:r>
        <w:rPr>
          <w:rFonts w:hint="default" w:ascii="Times New Roman" w:hAnsi="Times New Roman" w:eastAsia="宋体" w:cs="Times New Roman"/>
          <w:color w:val="auto"/>
          <w:szCs w:val="24"/>
          <w:highlight w:val="none"/>
          <w:lang w:val="en-US" w:eastAsia="zh-CN"/>
        </w:rPr>
        <w:t>、0512-56919834</w:t>
      </w:r>
    </w:p>
    <w:p w14:paraId="654B8818">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2．采购代理机构信息</w:t>
      </w:r>
    </w:p>
    <w:p w14:paraId="1B959C62">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名称：苏州康新恩招投标有限公司</w:t>
      </w:r>
    </w:p>
    <w:p w14:paraId="4C7C0631">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地址：张家港市杨舍镇置地甲江南56幢201室</w:t>
      </w:r>
    </w:p>
    <w:p w14:paraId="47ABE840">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联系方式：赵素云、13962451021</w:t>
      </w:r>
    </w:p>
    <w:p w14:paraId="20AB9F4E">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3．项目联系方式</w:t>
      </w:r>
    </w:p>
    <w:p w14:paraId="02724CD3">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项目联系人：赵素云</w:t>
      </w:r>
    </w:p>
    <w:p w14:paraId="5F1C244B">
      <w:pPr>
        <w:pStyle w:val="17"/>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电话：13962451021</w:t>
      </w:r>
    </w:p>
    <w:p w14:paraId="3B8C14FC">
      <w:pPr>
        <w:pStyle w:val="18"/>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5" w:name="_Toc54119645"/>
      <w:bookmarkStart w:id="16" w:name="_Toc35244867"/>
      <w:bookmarkStart w:id="17" w:name="_Toc4303"/>
      <w:r>
        <w:rPr>
          <w:rFonts w:hint="default" w:ascii="Times New Roman" w:hAnsi="Times New Roman" w:eastAsia="宋体" w:cs="Times New Roman"/>
          <w:color w:val="auto"/>
          <w:highlight w:val="none"/>
        </w:rPr>
        <w:t xml:space="preserve">第二章  </w:t>
      </w:r>
      <w:bookmarkEnd w:id="2"/>
      <w:bookmarkEnd w:id="3"/>
      <w:bookmarkEnd w:id="4"/>
      <w:bookmarkEnd w:id="5"/>
      <w:bookmarkEnd w:id="6"/>
      <w:bookmarkEnd w:id="10"/>
      <w:bookmarkStart w:id="18" w:name="_Toc16938518"/>
      <w:bookmarkStart w:id="19" w:name="_Toc120614213"/>
      <w:bookmarkStart w:id="20" w:name="_Toc513029202"/>
      <w:bookmarkStart w:id="21" w:name="_Toc20823274"/>
      <w:r>
        <w:rPr>
          <w:rFonts w:hint="default" w:ascii="Times New Roman" w:hAnsi="Times New Roman" w:eastAsia="宋体" w:cs="Times New Roman"/>
          <w:color w:val="auto"/>
          <w:highlight w:val="none"/>
        </w:rPr>
        <w:t>投标人须知</w:t>
      </w:r>
      <w:bookmarkEnd w:id="15"/>
      <w:bookmarkEnd w:id="16"/>
      <w:bookmarkEnd w:id="17"/>
      <w:bookmarkEnd w:id="18"/>
      <w:bookmarkEnd w:id="19"/>
      <w:bookmarkEnd w:id="20"/>
      <w:bookmarkEnd w:id="21"/>
    </w:p>
    <w:p w14:paraId="24E0BECD">
      <w:pPr>
        <w:pStyle w:val="3"/>
        <w:shd w:val="clear" w:color="auto" w:fill="auto"/>
        <w:wordWrap/>
        <w:overflowPunct/>
        <w:topLinePunct w:val="0"/>
        <w:bidi w:val="0"/>
        <w:spacing w:line="300" w:lineRule="auto"/>
        <w:jc w:val="left"/>
        <w:rPr>
          <w:rStyle w:val="33"/>
          <w:rFonts w:hint="default" w:ascii="Times New Roman" w:hAnsi="Times New Roman" w:eastAsia="宋体" w:cs="Times New Roman"/>
          <w:b/>
          <w:bCs/>
          <w:color w:val="auto"/>
          <w:highlight w:val="none"/>
        </w:rPr>
      </w:pPr>
      <w:bookmarkStart w:id="22" w:name="_Toc35244868"/>
      <w:bookmarkStart w:id="23" w:name="_Toc20823275"/>
      <w:bookmarkStart w:id="24" w:name="_Toc16938519"/>
      <w:bookmarkStart w:id="25" w:name="_Toc23836"/>
      <w:bookmarkStart w:id="26" w:name="_Toc54119646"/>
      <w:bookmarkStart w:id="27" w:name="_Toc513029203"/>
      <w:bookmarkStart w:id="28" w:name="_Toc120614214"/>
      <w:bookmarkStart w:id="29" w:name="_Toc479757207"/>
      <w:bookmarkStart w:id="30" w:name="_Toc120614221"/>
      <w:bookmarkStart w:id="31" w:name="_Toc513029242"/>
      <w:bookmarkStart w:id="32" w:name="_Toc16938558"/>
      <w:bookmarkStart w:id="33" w:name="_Toc20823314"/>
      <w:r>
        <w:rPr>
          <w:rStyle w:val="33"/>
          <w:rFonts w:hint="default" w:ascii="Times New Roman" w:hAnsi="Times New Roman" w:eastAsia="宋体" w:cs="Times New Roman"/>
          <w:b/>
          <w:bCs/>
          <w:color w:val="auto"/>
          <w:highlight w:val="none"/>
        </w:rPr>
        <w:t>一、总则</w:t>
      </w:r>
      <w:bookmarkEnd w:id="22"/>
      <w:bookmarkEnd w:id="23"/>
      <w:bookmarkEnd w:id="24"/>
      <w:bookmarkEnd w:id="25"/>
      <w:bookmarkEnd w:id="26"/>
      <w:bookmarkEnd w:id="27"/>
      <w:bookmarkEnd w:id="28"/>
    </w:p>
    <w:p w14:paraId="1559D97F">
      <w:pPr>
        <w:keepNext/>
        <w:keepLines/>
        <w:shd w:val="clear" w:color="auto" w:fill="auto"/>
        <w:wordWrap/>
        <w:overflowPunct/>
        <w:topLinePunct w:val="0"/>
        <w:bidi w:val="0"/>
        <w:snapToGrid w:val="0"/>
        <w:spacing w:line="300" w:lineRule="auto"/>
        <w:ind w:firstLine="280" w:firstLineChars="100"/>
        <w:outlineLvl w:val="3"/>
        <w:rPr>
          <w:rFonts w:hint="default" w:ascii="Times New Roman" w:hAnsi="Times New Roman" w:eastAsia="宋体" w:cs="Times New Roman"/>
          <w:color w:val="auto"/>
          <w:sz w:val="28"/>
          <w:szCs w:val="28"/>
          <w:highlight w:val="none"/>
        </w:rPr>
      </w:pPr>
      <w:bookmarkStart w:id="34" w:name="_Hlt16619475"/>
      <w:bookmarkEnd w:id="34"/>
      <w:bookmarkStart w:id="35" w:name="_Toc458694821"/>
      <w:bookmarkStart w:id="36" w:name="_Toc20823276"/>
      <w:bookmarkStart w:id="37" w:name="_Toc16938520"/>
      <w:bookmarkStart w:id="38" w:name="_Toc513029204"/>
      <w:r>
        <w:rPr>
          <w:rFonts w:hint="default" w:ascii="Times New Roman" w:hAnsi="Times New Roman" w:eastAsia="宋体" w:cs="Times New Roman"/>
          <w:color w:val="auto"/>
          <w:sz w:val="28"/>
          <w:szCs w:val="28"/>
          <w:highlight w:val="none"/>
        </w:rPr>
        <w:t>1</w:t>
      </w:r>
      <w:bookmarkEnd w:id="35"/>
      <w:r>
        <w:rPr>
          <w:rFonts w:hint="default" w:ascii="Times New Roman" w:hAnsi="Times New Roman" w:eastAsia="宋体" w:cs="Times New Roman"/>
          <w:b/>
          <w:color w:val="auto"/>
          <w:sz w:val="28"/>
          <w:szCs w:val="28"/>
          <w:highlight w:val="none"/>
        </w:rPr>
        <w:t>、</w:t>
      </w:r>
      <w:r>
        <w:rPr>
          <w:rFonts w:hint="default" w:ascii="Times New Roman" w:hAnsi="Times New Roman" w:eastAsia="宋体" w:cs="Times New Roman"/>
          <w:color w:val="auto"/>
          <w:sz w:val="28"/>
          <w:szCs w:val="28"/>
          <w:highlight w:val="none"/>
        </w:rPr>
        <w:t>招标方式</w:t>
      </w:r>
      <w:bookmarkEnd w:id="36"/>
      <w:bookmarkEnd w:id="37"/>
      <w:bookmarkEnd w:id="38"/>
    </w:p>
    <w:p w14:paraId="65AAFEE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 本次招标采取公开招标方式，本招标文件仅适用于招标公告中所述项目。</w:t>
      </w:r>
    </w:p>
    <w:p w14:paraId="3CB9211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9" w:name="_Toc513029205"/>
      <w:bookmarkStart w:id="40" w:name="_Toc16938521"/>
      <w:bookmarkStart w:id="41" w:name="_Toc20823277"/>
      <w:r>
        <w:rPr>
          <w:rFonts w:hint="default" w:ascii="Times New Roman" w:hAnsi="Times New Roman" w:eastAsia="宋体" w:cs="Times New Roman"/>
          <w:color w:val="auto"/>
          <w:sz w:val="28"/>
          <w:szCs w:val="28"/>
          <w:highlight w:val="none"/>
        </w:rPr>
        <w:t>2、合格的投标人</w:t>
      </w:r>
      <w:bookmarkEnd w:id="39"/>
      <w:bookmarkEnd w:id="40"/>
      <w:bookmarkEnd w:id="41"/>
    </w:p>
    <w:p w14:paraId="33A9BAD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 1满足招标公告中投标人的资格要求的规定。</w:t>
      </w:r>
    </w:p>
    <w:p w14:paraId="5B2CF25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2.2 满足本文件实质性要求的规定</w:t>
      </w:r>
      <w:r>
        <w:rPr>
          <w:rFonts w:hint="default" w:ascii="Times New Roman" w:hAnsi="Times New Roman" w:eastAsia="宋体" w:cs="Times New Roman"/>
          <w:b/>
          <w:color w:val="auto"/>
          <w:sz w:val="24"/>
          <w:highlight w:val="none"/>
        </w:rPr>
        <w:t>（本招标文件中斜体且有下划线部分为实质性要求）。</w:t>
      </w:r>
    </w:p>
    <w:p w14:paraId="365F30B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2" w:name="_Toc16938522"/>
      <w:bookmarkStart w:id="43" w:name="_Toc20823278"/>
      <w:bookmarkStart w:id="44" w:name="_Toc513029206"/>
      <w:r>
        <w:rPr>
          <w:rFonts w:hint="default" w:ascii="Times New Roman" w:hAnsi="Times New Roman" w:eastAsia="宋体" w:cs="Times New Roman"/>
          <w:color w:val="auto"/>
          <w:sz w:val="28"/>
          <w:szCs w:val="28"/>
          <w:highlight w:val="none"/>
        </w:rPr>
        <w:t>3、适用法律</w:t>
      </w:r>
      <w:bookmarkEnd w:id="42"/>
      <w:bookmarkEnd w:id="43"/>
      <w:bookmarkEnd w:id="44"/>
    </w:p>
    <w:p w14:paraId="7DBEF1A6">
      <w:pPr>
        <w:shd w:val="clear" w:color="auto" w:fill="auto"/>
        <w:wordWrap/>
        <w:overflowPunct/>
        <w:topLinePunct w:val="0"/>
        <w:bidi w:val="0"/>
        <w:snapToGrid w:val="0"/>
        <w:spacing w:line="300" w:lineRule="auto"/>
        <w:ind w:firstLine="420" w:firstLineChars="175"/>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 本次招标及由此产生的合同受中华人民共和国有关的法律法规制约和保护。</w:t>
      </w:r>
    </w:p>
    <w:p w14:paraId="7B503FA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5" w:name="_Toc20823279"/>
      <w:bookmarkStart w:id="46" w:name="_Toc16938523"/>
      <w:bookmarkStart w:id="47" w:name="_Toc462564067"/>
      <w:bookmarkStart w:id="48" w:name="_Toc513029207"/>
      <w:r>
        <w:rPr>
          <w:rFonts w:hint="default" w:ascii="Times New Roman" w:hAnsi="Times New Roman" w:eastAsia="宋体" w:cs="Times New Roman"/>
          <w:color w:val="auto"/>
          <w:sz w:val="28"/>
          <w:szCs w:val="28"/>
          <w:highlight w:val="none"/>
        </w:rPr>
        <w:t>4、投标费用</w:t>
      </w:r>
      <w:bookmarkEnd w:id="45"/>
      <w:bookmarkEnd w:id="46"/>
      <w:bookmarkEnd w:id="47"/>
      <w:bookmarkEnd w:id="48"/>
    </w:p>
    <w:p w14:paraId="6F5716B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4.1</w:t>
      </w:r>
      <w:r>
        <w:rPr>
          <w:rFonts w:hint="default" w:ascii="Times New Roman" w:hAnsi="Times New Roman" w:eastAsia="宋体" w:cs="Times New Roman"/>
          <w:color w:val="auto"/>
          <w:sz w:val="24"/>
          <w:highlight w:val="none"/>
        </w:rPr>
        <w:t xml:space="preserve">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苏州康新恩招投标有限公司</w:t>
      </w:r>
      <w:bookmarkEnd w:id="49"/>
      <w:r>
        <w:rPr>
          <w:rFonts w:hint="default" w:ascii="Times New Roman" w:hAnsi="Times New Roman" w:eastAsia="宋体" w:cs="Times New Roman"/>
          <w:color w:val="auto"/>
          <w:sz w:val="24"/>
          <w:highlight w:val="none"/>
        </w:rPr>
        <w:t>在任何情况下均无义务和责任承担这些费用。</w:t>
      </w:r>
    </w:p>
    <w:p w14:paraId="23903B49">
      <w:pPr>
        <w:pStyle w:val="34"/>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4.2 本次招标采购代理机构收取代理服务费。</w:t>
      </w:r>
    </w:p>
    <w:p w14:paraId="01A7AB88">
      <w:pPr>
        <w:pStyle w:val="34"/>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lang w:eastAsia="zh-CN"/>
        </w:rPr>
      </w:pPr>
      <w:r>
        <w:rPr>
          <w:rStyle w:val="21"/>
          <w:rFonts w:hint="default" w:ascii="Times New Roman" w:hAnsi="Times New Roman" w:eastAsia="宋体" w:cs="Times New Roman"/>
          <w:b w:val="0"/>
          <w:color w:val="auto"/>
          <w:spacing w:val="7"/>
          <w:sz w:val="24"/>
          <w:highlight w:val="none"/>
        </w:rPr>
        <w:t xml:space="preserve">  4.2.1 本项目采购代理服务费由 中标（成交）供应商支付</w:t>
      </w:r>
      <w:r>
        <w:rPr>
          <w:rStyle w:val="21"/>
          <w:rFonts w:hint="default" w:ascii="Times New Roman" w:hAnsi="Times New Roman" w:eastAsia="宋体" w:cs="Times New Roman"/>
          <w:b w:val="0"/>
          <w:color w:val="auto"/>
          <w:spacing w:val="7"/>
          <w:sz w:val="24"/>
          <w:highlight w:val="none"/>
          <w:lang w:eastAsia="zh-CN"/>
        </w:rPr>
        <w:t>；</w:t>
      </w:r>
    </w:p>
    <w:p w14:paraId="1CD8D1BC">
      <w:pPr>
        <w:pStyle w:val="34"/>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4.2.2 代理服务费：</w:t>
      </w:r>
      <w:r>
        <w:rPr>
          <w:rStyle w:val="21"/>
          <w:rFonts w:hint="eastAsia" w:ascii="Times New Roman" w:hAnsi="Times New Roman" w:eastAsia="宋体" w:cs="Times New Roman"/>
          <w:b w:val="0"/>
          <w:color w:val="auto"/>
          <w:spacing w:val="7"/>
          <w:sz w:val="24"/>
          <w:highlight w:val="none"/>
          <w:lang w:val="en-US" w:eastAsia="zh-CN"/>
        </w:rPr>
        <w:t>4000</w:t>
      </w:r>
      <w:r>
        <w:rPr>
          <w:rStyle w:val="21"/>
          <w:rFonts w:hint="default" w:ascii="Times New Roman" w:hAnsi="Times New Roman" w:eastAsia="宋体" w:cs="Times New Roman"/>
          <w:b w:val="0"/>
          <w:color w:val="auto"/>
          <w:spacing w:val="7"/>
          <w:sz w:val="24"/>
          <w:highlight w:val="none"/>
        </w:rPr>
        <w:t>元</w:t>
      </w:r>
    </w:p>
    <w:p w14:paraId="38603BD2">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50" w:name="EB549d1380e2684e2e879dcc605639425b"/>
      <w:bookmarkEnd w:id="50"/>
      <w:r>
        <w:rPr>
          <w:rFonts w:hint="default" w:ascii="Times New Roman" w:hAnsi="Times New Roman" w:eastAsia="宋体" w:cs="Times New Roman"/>
          <w:color w:val="auto"/>
          <w:sz w:val="28"/>
          <w:szCs w:val="28"/>
          <w:highlight w:val="none"/>
        </w:rPr>
        <w:t>5、招标文件的约束力</w:t>
      </w:r>
    </w:p>
    <w:p w14:paraId="2A6E98C5">
      <w:pPr>
        <w:wordWrap/>
        <w:overflowPunct/>
        <w:topLinePunct w:val="0"/>
        <w:bidi w:val="0"/>
        <w:spacing w:line="30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5.1</w:t>
      </w:r>
      <w:r>
        <w:rPr>
          <w:rFonts w:hint="default" w:ascii="Times New Roman" w:hAnsi="Times New Roman" w:eastAsia="宋体" w:cs="Times New Roman"/>
          <w:color w:val="auto"/>
          <w:sz w:val="24"/>
          <w:highlight w:val="none"/>
        </w:rPr>
        <w:t xml:space="preserve"> 投标人一旦在</w:t>
      </w:r>
      <w:r>
        <w:rPr>
          <w:rFonts w:hint="eastAsia" w:ascii="Times New Roman" w:hAnsi="Times New Roman"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eastAsia" w:ascii="Times New Roman" w:hAnsi="Times New Roman" w:cs="Times New Roman"/>
          <w:color w:val="auto"/>
          <w:sz w:val="24"/>
          <w:highlight w:val="none"/>
          <w:lang w:eastAsia="zh-CN"/>
        </w:rPr>
        <w:t>”</w:t>
      </w:r>
      <w:r>
        <w:rPr>
          <w:rFonts w:hint="default" w:ascii="Times New Roman" w:hAnsi="Times New Roman" w:eastAsia="宋体" w:cs="Times New Roman"/>
          <w:color w:val="auto"/>
          <w:sz w:val="24"/>
          <w:highlight w:val="none"/>
        </w:rPr>
        <w:t>系统下载本招标文件决定参加投标，即被认为接受了本招标文件的规定和约束，并且视为已经知道或应当知道自身权益是否受到了损害。</w:t>
      </w:r>
      <w:bookmarkStart w:id="51" w:name="_Toc120614215"/>
      <w:bookmarkStart w:id="52" w:name="_Toc16938525"/>
      <w:bookmarkStart w:id="53" w:name="_Toc513029209"/>
      <w:bookmarkStart w:id="54" w:name="_Toc35244869"/>
      <w:bookmarkStart w:id="55" w:name="_Toc20823281"/>
      <w:bookmarkStart w:id="56" w:name="_Toc54119647"/>
    </w:p>
    <w:p w14:paraId="591243BA">
      <w:pPr>
        <w:wordWrap/>
        <w:overflowPunct/>
        <w:topLinePunct w:val="0"/>
        <w:bidi w:val="0"/>
        <w:spacing w:line="300" w:lineRule="auto"/>
        <w:rPr>
          <w:rStyle w:val="33"/>
          <w:rFonts w:hint="default" w:ascii="Times New Roman" w:hAnsi="Times New Roman" w:eastAsia="宋体" w:cs="Times New Roman"/>
          <w:bCs w:val="0"/>
          <w:color w:val="auto"/>
          <w:highlight w:val="none"/>
        </w:rPr>
      </w:pPr>
      <w:r>
        <w:rPr>
          <w:rStyle w:val="33"/>
          <w:rFonts w:hint="default" w:ascii="Times New Roman" w:hAnsi="Times New Roman" w:eastAsia="宋体" w:cs="Times New Roman"/>
          <w:bCs w:val="0"/>
          <w:color w:val="auto"/>
          <w:highlight w:val="none"/>
        </w:rPr>
        <w:t>二、招标文件</w:t>
      </w:r>
      <w:bookmarkEnd w:id="51"/>
      <w:bookmarkEnd w:id="52"/>
      <w:bookmarkEnd w:id="53"/>
      <w:bookmarkEnd w:id="54"/>
      <w:bookmarkEnd w:id="55"/>
      <w:bookmarkEnd w:id="56"/>
    </w:p>
    <w:p w14:paraId="10515B4E">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57" w:name="_Toc20823282"/>
      <w:bookmarkStart w:id="58" w:name="_Toc513029210"/>
      <w:bookmarkStart w:id="59" w:name="_Toc16938526"/>
      <w:r>
        <w:rPr>
          <w:rFonts w:hint="default" w:ascii="Times New Roman" w:hAnsi="Times New Roman" w:eastAsia="宋体" w:cs="Times New Roman"/>
          <w:color w:val="auto"/>
          <w:sz w:val="28"/>
          <w:szCs w:val="28"/>
          <w:highlight w:val="none"/>
        </w:rPr>
        <w:t>6、招标文件构成</w:t>
      </w:r>
      <w:bookmarkEnd w:id="57"/>
      <w:bookmarkEnd w:id="58"/>
      <w:bookmarkEnd w:id="59"/>
    </w:p>
    <w:p w14:paraId="3D3B17D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6.1</w:t>
      </w:r>
      <w:r>
        <w:rPr>
          <w:rFonts w:hint="default" w:ascii="Times New Roman" w:hAnsi="Times New Roman" w:eastAsia="宋体" w:cs="Times New Roman"/>
          <w:color w:val="auto"/>
          <w:sz w:val="24"/>
          <w:highlight w:val="none"/>
        </w:rPr>
        <w:t xml:space="preserve"> 招标文件有以下部分组成：</w:t>
      </w:r>
    </w:p>
    <w:p w14:paraId="229B53BC">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（1）投标邀请</w:t>
      </w:r>
    </w:p>
    <w:p w14:paraId="25A66D57">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（2）投标人须知</w:t>
      </w:r>
    </w:p>
    <w:p w14:paraId="6F18A2C9">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（3）合同条款及格式</w:t>
      </w:r>
    </w:p>
    <w:p w14:paraId="3A0C6BDB">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（4）项目需求</w:t>
      </w:r>
    </w:p>
    <w:p w14:paraId="49325B90">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（5）评标方法与评标标准</w:t>
      </w:r>
    </w:p>
    <w:p w14:paraId="51D29C87">
      <w:pPr>
        <w:shd w:val="clear" w:color="auto" w:fill="auto"/>
        <w:wordWrap/>
        <w:overflowPunct/>
        <w:topLinePunct w:val="0"/>
        <w:bidi w:val="0"/>
        <w:snapToGrid w:val="0"/>
        <w:spacing w:line="300" w:lineRule="auto"/>
        <w:ind w:firstLine="360" w:firstLineChars="1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（6）投标文件格式</w:t>
      </w:r>
    </w:p>
    <w:p w14:paraId="0CF13F2C">
      <w:pPr>
        <w:shd w:val="clear" w:color="auto" w:fill="auto"/>
        <w:wordWrap/>
        <w:overflowPunct/>
        <w:topLinePunct w:val="0"/>
        <w:bidi w:val="0"/>
        <w:snapToGrid w:val="0"/>
        <w:spacing w:line="300" w:lineRule="auto"/>
        <w:ind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苏州康新恩招投标有限公司</w:t>
      </w:r>
      <w:bookmarkEnd w:id="60"/>
      <w:r>
        <w:rPr>
          <w:rFonts w:hint="default" w:ascii="Times New Roman" w:hAnsi="Times New Roman" w:eastAsia="宋体" w:cs="Times New Roman"/>
          <w:color w:val="auto"/>
          <w:sz w:val="24"/>
          <w:highlight w:val="none"/>
        </w:rPr>
        <w:t>联系解决。</w:t>
      </w:r>
    </w:p>
    <w:p w14:paraId="0F32788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6.2</w:t>
      </w:r>
      <w:r>
        <w:rPr>
          <w:rFonts w:hint="default" w:ascii="Times New Roman" w:hAnsi="Times New Roman" w:eastAsia="宋体" w:cs="Times New Roman"/>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5989AD">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61" w:name="_Toc462564071"/>
      <w:bookmarkStart w:id="62" w:name="_Toc20823284"/>
      <w:bookmarkStart w:id="63" w:name="_Toc16938528"/>
      <w:bookmarkStart w:id="64" w:name="_Toc513029212"/>
      <w:r>
        <w:rPr>
          <w:rFonts w:hint="default" w:ascii="Times New Roman" w:hAnsi="Times New Roman" w:eastAsia="宋体" w:cs="Times New Roman"/>
          <w:color w:val="auto"/>
          <w:sz w:val="28"/>
          <w:szCs w:val="28"/>
          <w:highlight w:val="none"/>
        </w:rPr>
        <w:t>7、招标文件的澄清或修改</w:t>
      </w:r>
      <w:bookmarkEnd w:id="61"/>
      <w:bookmarkEnd w:id="62"/>
      <w:bookmarkEnd w:id="63"/>
      <w:bookmarkEnd w:id="64"/>
    </w:p>
    <w:p w14:paraId="4861932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7.1在投标截止时间前，</w:t>
      </w:r>
      <w:bookmarkStart w:id="65" w:name="EB767d7adfda8149f18b02e80b517aebb2"/>
      <w:r>
        <w:rPr>
          <w:rFonts w:hint="default" w:ascii="Times New Roman" w:hAnsi="Times New Roman" w:eastAsia="宋体" w:cs="Times New Roman"/>
          <w:bCs/>
          <w:color w:val="auto"/>
          <w:sz w:val="24"/>
          <w:highlight w:val="none"/>
        </w:rPr>
        <w:t>苏州康新恩招投标有限公司</w:t>
      </w:r>
      <w:bookmarkEnd w:id="65"/>
      <w:r>
        <w:rPr>
          <w:rFonts w:hint="default" w:ascii="Times New Roman" w:hAnsi="Times New Roman" w:eastAsia="宋体" w:cs="Times New Roman"/>
          <w:bCs/>
          <w:color w:val="auto"/>
          <w:sz w:val="24"/>
          <w:highlight w:val="none"/>
        </w:rPr>
        <w:t>可以对招标文件进行澄清或修改。</w:t>
      </w:r>
    </w:p>
    <w:p w14:paraId="4FCE883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Cs/>
          <w:color w:val="auto"/>
          <w:sz w:val="24"/>
          <w:highlight w:val="none"/>
        </w:rPr>
        <w:t>7.2</w:t>
      </w:r>
      <w:bookmarkStart w:id="66" w:name="EBa5900077139e4b16b49ff9dc14653cdd"/>
      <w:r>
        <w:rPr>
          <w:rFonts w:hint="default" w:ascii="Times New Roman" w:hAnsi="Times New Roman" w:eastAsia="宋体" w:cs="Times New Roman"/>
          <w:bCs/>
          <w:color w:val="auto"/>
          <w:sz w:val="24"/>
          <w:highlight w:val="none"/>
        </w:rPr>
        <w:t>苏州康新恩招投标有限公司</w:t>
      </w:r>
      <w:bookmarkEnd w:id="66"/>
      <w:r>
        <w:rPr>
          <w:rFonts w:hint="default" w:ascii="Times New Roman" w:hAnsi="Times New Roman" w:eastAsia="宋体" w:cs="Times New Roman"/>
          <w:color w:val="auto"/>
          <w:sz w:val="24"/>
          <w:highlight w:val="none"/>
        </w:rPr>
        <w:t>有权按照法定的要求推迟投标截止日期和开标日期。</w:t>
      </w:r>
    </w:p>
    <w:p w14:paraId="1025D2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7.3</w:t>
      </w:r>
      <w:r>
        <w:rPr>
          <w:rFonts w:hint="default" w:ascii="Times New Roman" w:hAnsi="Times New Roman" w:eastAsia="宋体" w:cs="Times New Roman"/>
          <w:color w:val="auto"/>
          <w:sz w:val="24"/>
          <w:highlight w:val="none"/>
        </w:rPr>
        <w:t>招标文件的实质性变动或修改将在政府采购公告媒体网通知，投标人可自行下载。补充文件将作为招标文件的组成部分，并对投标人具有约束力。</w:t>
      </w:r>
    </w:p>
    <w:p w14:paraId="6D2680AD">
      <w:pPr>
        <w:pStyle w:val="30"/>
        <w:shd w:val="clear" w:color="auto" w:fill="auto"/>
        <w:wordWrap/>
        <w:overflowPunct/>
        <w:topLinePunct w:val="0"/>
        <w:bidi w:val="0"/>
        <w:spacing w:line="300" w:lineRule="auto"/>
        <w:ind w:firstLine="500"/>
        <w:outlineLvl w:val="9"/>
        <w:rPr>
          <w:rStyle w:val="33"/>
          <w:rFonts w:hint="default" w:ascii="Times New Roman" w:hAnsi="Times New Roman" w:eastAsia="宋体" w:cs="Times New Roman"/>
          <w:b/>
          <w:bCs w:val="0"/>
          <w:color w:val="auto"/>
          <w:highlight w:val="none"/>
        </w:rPr>
      </w:pPr>
      <w:bookmarkStart w:id="67" w:name="_Toc20823285"/>
      <w:bookmarkStart w:id="68" w:name="_Toc513029213"/>
      <w:bookmarkStart w:id="69" w:name="_Toc54119648"/>
      <w:bookmarkStart w:id="70" w:name="_Toc35244870"/>
      <w:bookmarkStart w:id="71" w:name="_Toc16938529"/>
      <w:bookmarkStart w:id="72" w:name="_Toc462564072"/>
      <w:bookmarkStart w:id="73" w:name="_Toc120614216"/>
      <w:r>
        <w:rPr>
          <w:rStyle w:val="33"/>
          <w:rFonts w:hint="default" w:ascii="Times New Roman" w:hAnsi="Times New Roman" w:eastAsia="宋体" w:cs="Times New Roman"/>
          <w:b/>
          <w:bCs w:val="0"/>
          <w:color w:val="auto"/>
          <w:highlight w:val="none"/>
        </w:rPr>
        <w:t>三、投标文件的编制</w:t>
      </w:r>
      <w:bookmarkEnd w:id="67"/>
      <w:bookmarkEnd w:id="68"/>
      <w:bookmarkEnd w:id="69"/>
      <w:bookmarkEnd w:id="70"/>
      <w:bookmarkEnd w:id="71"/>
      <w:bookmarkEnd w:id="72"/>
      <w:bookmarkEnd w:id="73"/>
    </w:p>
    <w:p w14:paraId="23D18C43">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b/>
          <w:color w:val="auto"/>
          <w:sz w:val="28"/>
          <w:szCs w:val="28"/>
          <w:highlight w:val="none"/>
        </w:rPr>
      </w:pPr>
      <w:bookmarkStart w:id="74" w:name="_Toc462564073"/>
      <w:bookmarkStart w:id="75" w:name="_Toc16938530"/>
      <w:bookmarkStart w:id="76" w:name="_Toc20823286"/>
      <w:bookmarkStart w:id="77" w:name="_Toc513029214"/>
      <w:r>
        <w:rPr>
          <w:rFonts w:hint="default" w:ascii="Times New Roman" w:hAnsi="Times New Roman" w:eastAsia="宋体" w:cs="Times New Roman"/>
          <w:color w:val="auto"/>
          <w:sz w:val="28"/>
          <w:szCs w:val="28"/>
          <w:highlight w:val="none"/>
        </w:rPr>
        <w:t>8、投标文件的语言及度量衡单位</w:t>
      </w:r>
      <w:bookmarkEnd w:id="74"/>
      <w:bookmarkEnd w:id="75"/>
      <w:bookmarkEnd w:id="76"/>
      <w:bookmarkEnd w:id="77"/>
    </w:p>
    <w:p w14:paraId="16AD21E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8.1</w:t>
      </w:r>
      <w:r>
        <w:rPr>
          <w:rFonts w:hint="default" w:ascii="Times New Roman" w:hAnsi="Times New Roman" w:eastAsia="宋体" w:cs="Times New Roman"/>
          <w:color w:val="auto"/>
          <w:sz w:val="24"/>
          <w:highlight w:val="none"/>
        </w:rPr>
        <w:t xml:space="preserve"> 投标人提交的投标文件以及投标人与</w:t>
      </w:r>
      <w:bookmarkStart w:id="78" w:name="EB223173bb655845fda11578f6372fd6c0"/>
      <w:r>
        <w:rPr>
          <w:rFonts w:hint="default" w:ascii="Times New Roman" w:hAnsi="Times New Roman" w:eastAsia="宋体" w:cs="Times New Roman"/>
          <w:color w:val="auto"/>
          <w:sz w:val="24"/>
          <w:highlight w:val="none"/>
        </w:rPr>
        <w:t>苏州康新恩招投标有限公司</w:t>
      </w:r>
      <w:bookmarkEnd w:id="78"/>
      <w:r>
        <w:rPr>
          <w:rFonts w:hint="default" w:ascii="Times New Roman" w:hAnsi="Times New Roman" w:eastAsia="宋体" w:cs="Times New Roman"/>
          <w:color w:val="auto"/>
          <w:sz w:val="24"/>
          <w:highlight w:val="none"/>
        </w:rPr>
        <w:t>就有关投标的所有来往通知、函件和文件均应使用</w:t>
      </w:r>
      <w:r>
        <w:rPr>
          <w:rFonts w:hint="default" w:ascii="Times New Roman" w:hAnsi="Times New Roman" w:eastAsia="宋体" w:cs="Times New Roman"/>
          <w:b/>
          <w:bCs/>
          <w:color w:val="auto"/>
          <w:sz w:val="24"/>
          <w:highlight w:val="none"/>
        </w:rPr>
        <w:t>简体中文</w:t>
      </w:r>
      <w:r>
        <w:rPr>
          <w:rFonts w:hint="default" w:ascii="Times New Roman" w:hAnsi="Times New Roman" w:eastAsia="宋体" w:cs="Times New Roman"/>
          <w:color w:val="auto"/>
          <w:sz w:val="24"/>
          <w:highlight w:val="none"/>
        </w:rPr>
        <w:t>。</w:t>
      </w:r>
    </w:p>
    <w:p w14:paraId="1BBCB2E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8.2</w:t>
      </w:r>
      <w:r>
        <w:rPr>
          <w:rFonts w:hint="default" w:ascii="Times New Roman" w:hAnsi="Times New Roman" w:eastAsia="宋体" w:cs="Times New Roman"/>
          <w:color w:val="auto"/>
          <w:sz w:val="24"/>
          <w:highlight w:val="none"/>
        </w:rPr>
        <w:t xml:space="preserve"> 除技术性能另有规定外，投标文件所使用的度量衡单位，均须采用国家法定计量单位。</w:t>
      </w:r>
    </w:p>
    <w:p w14:paraId="023C4ED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9" w:name="_Toc20823287"/>
      <w:bookmarkStart w:id="80" w:name="_Toc462564074"/>
      <w:bookmarkStart w:id="81" w:name="_Toc16938531"/>
      <w:bookmarkStart w:id="82" w:name="_Toc513029215"/>
      <w:r>
        <w:rPr>
          <w:rFonts w:hint="default" w:ascii="Times New Roman" w:hAnsi="Times New Roman" w:eastAsia="宋体" w:cs="Times New Roman"/>
          <w:color w:val="auto"/>
          <w:sz w:val="28"/>
          <w:szCs w:val="28"/>
          <w:highlight w:val="none"/>
        </w:rPr>
        <w:t>9、投标文件构成</w:t>
      </w:r>
      <w:bookmarkEnd w:id="79"/>
      <w:bookmarkEnd w:id="80"/>
      <w:bookmarkEnd w:id="81"/>
      <w:bookmarkEnd w:id="82"/>
    </w:p>
    <w:p w14:paraId="764040C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p>
    <w:p w14:paraId="23FB534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9.2</w:t>
      </w: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b/>
          <w:color w:val="auto"/>
          <w:sz w:val="24"/>
          <w:highlight w:val="none"/>
        </w:rPr>
        <w:t>特别提醒：投标人必须在投标文件接收截止时间之前在系统中提交所有与开评标相关的资料。开评标现场不接收任何资料。</w:t>
      </w:r>
    </w:p>
    <w:p w14:paraId="7E57BBD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83" w:name="_Hlt26670360"/>
      <w:bookmarkEnd w:id="83"/>
      <w:bookmarkStart w:id="84" w:name="_Hlt26668975"/>
      <w:bookmarkEnd w:id="84"/>
      <w:bookmarkStart w:id="85" w:name="_Hlt26954838"/>
      <w:bookmarkEnd w:id="85"/>
      <w:bookmarkStart w:id="86" w:name="_Toc14577357"/>
      <w:bookmarkStart w:id="87" w:name="_Toc513029219"/>
      <w:bookmarkStart w:id="88" w:name="_Toc49090509"/>
      <w:bookmarkStart w:id="89" w:name="_Toc49090507"/>
      <w:bookmarkStart w:id="90" w:name="_Toc14577354"/>
      <w:bookmarkStart w:id="91" w:name="_Toc513029216"/>
      <w:r>
        <w:rPr>
          <w:rFonts w:hint="default" w:ascii="Times New Roman" w:hAnsi="Times New Roman" w:eastAsia="宋体" w:cs="Times New Roman"/>
          <w:color w:val="auto"/>
          <w:sz w:val="28"/>
          <w:szCs w:val="28"/>
          <w:highlight w:val="none"/>
        </w:rPr>
        <w:t>10、投标函和开标一览表</w:t>
      </w:r>
    </w:p>
    <w:p w14:paraId="7B21671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10.1</w:t>
      </w:r>
      <w:r>
        <w:rPr>
          <w:rFonts w:hint="default" w:ascii="Times New Roman" w:hAnsi="Times New Roman" w:eastAsia="宋体" w:cs="Times New Roman"/>
          <w:color w:val="auto"/>
          <w:sz w:val="24"/>
          <w:highlight w:val="none"/>
        </w:rPr>
        <w:t xml:space="preserve"> 投标人应按照招标文件中提供的格式完整、正确填写投标函、开标一览表。</w:t>
      </w:r>
    </w:p>
    <w:p w14:paraId="7583BF1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10.2</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bCs/>
          <w:color w:val="auto"/>
          <w:sz w:val="24"/>
          <w:highlight w:val="none"/>
        </w:rPr>
        <w:t>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bCs/>
          <w:color w:val="auto"/>
          <w:sz w:val="24"/>
          <w:highlight w:val="none"/>
        </w:rPr>
        <w:t>。</w:t>
      </w:r>
    </w:p>
    <w:p w14:paraId="36BA2F5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11、投标人资格证明文件</w:t>
      </w:r>
      <w:bookmarkEnd w:id="86"/>
      <w:bookmarkEnd w:id="87"/>
      <w:bookmarkEnd w:id="88"/>
    </w:p>
    <w:p w14:paraId="5DAF11C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11.1</w:t>
      </w:r>
      <w:bookmarkStart w:id="92" w:name="_Hlt26668999"/>
      <w:bookmarkEnd w:id="92"/>
      <w:r>
        <w:rPr>
          <w:rFonts w:hint="default" w:ascii="Times New Roman" w:hAnsi="Times New Roman" w:eastAsia="宋体" w:cs="Times New Roman"/>
          <w:color w:val="auto"/>
          <w:sz w:val="24"/>
          <w:highlight w:val="none"/>
        </w:rPr>
        <w:t>投标人应按招标文件的要求提交资格证明文件。</w:t>
      </w:r>
    </w:p>
    <w:bookmarkEnd w:id="89"/>
    <w:bookmarkEnd w:id="90"/>
    <w:bookmarkEnd w:id="91"/>
    <w:p w14:paraId="20137405">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93" w:name="_Toc49090508"/>
      <w:bookmarkStart w:id="94" w:name="_Toc14577355"/>
      <w:r>
        <w:rPr>
          <w:rFonts w:hint="default" w:ascii="Times New Roman" w:hAnsi="Times New Roman" w:eastAsia="宋体" w:cs="Times New Roman"/>
          <w:color w:val="auto"/>
          <w:sz w:val="28"/>
          <w:szCs w:val="28"/>
          <w:highlight w:val="none"/>
        </w:rPr>
        <w:t>12、投标配置与分项报价</w:t>
      </w:r>
      <w:bookmarkStart w:id="95" w:name="_Hlt26670373"/>
      <w:bookmarkEnd w:id="95"/>
      <w:r>
        <w:rPr>
          <w:rFonts w:hint="default" w:ascii="Times New Roman" w:hAnsi="Times New Roman" w:eastAsia="宋体" w:cs="Times New Roman"/>
          <w:color w:val="auto"/>
          <w:sz w:val="28"/>
          <w:szCs w:val="28"/>
          <w:highlight w:val="none"/>
        </w:rPr>
        <w:t>表</w:t>
      </w:r>
      <w:bookmarkEnd w:id="93"/>
      <w:bookmarkEnd w:id="94"/>
    </w:p>
    <w:p w14:paraId="286EA80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12.1</w:t>
      </w:r>
      <w:r>
        <w:rPr>
          <w:rFonts w:hint="default" w:ascii="Times New Roman" w:hAnsi="Times New Roman" w:eastAsia="宋体" w:cs="Times New Roman"/>
          <w:color w:val="auto"/>
          <w:sz w:val="24"/>
          <w:highlight w:val="none"/>
        </w:rPr>
        <w:t xml:space="preserve"> 投</w:t>
      </w:r>
      <w:bookmarkStart w:id="96" w:name="_Hlt26954840"/>
      <w:bookmarkEnd w:id="96"/>
      <w:r>
        <w:rPr>
          <w:rFonts w:hint="default" w:ascii="Times New Roman" w:hAnsi="Times New Roman" w:eastAsia="宋体" w:cs="Times New Roman"/>
          <w:color w:val="auto"/>
          <w:sz w:val="24"/>
          <w:highlight w:val="none"/>
        </w:rPr>
        <w:t>标人应按照招标文件规定格式填报投标配置与分项报价表</w:t>
      </w:r>
      <w:bookmarkStart w:id="97" w:name="_Hlt26670399"/>
      <w:bookmarkEnd w:id="97"/>
      <w:r>
        <w:rPr>
          <w:rFonts w:hint="default" w:ascii="Times New Roman" w:hAnsi="Times New Roman" w:eastAsia="宋体" w:cs="Times New Roman"/>
          <w:color w:val="auto"/>
          <w:sz w:val="24"/>
          <w:highlight w:val="none"/>
        </w:rPr>
        <w:t>，在表中标明所提供设备及主要部件的品牌、型号规格、产地、数量等。</w:t>
      </w:r>
      <w:r>
        <w:rPr>
          <w:rFonts w:hint="default" w:ascii="Times New Roman" w:hAnsi="Times New Roman" w:eastAsia="宋体" w:cs="Times New Roman"/>
          <w:b/>
          <w:color w:val="auto"/>
          <w:sz w:val="24"/>
          <w:highlight w:val="none"/>
        </w:rPr>
        <w:t>每项货物和服务等只允许有一个报价</w:t>
      </w:r>
      <w:r>
        <w:rPr>
          <w:rFonts w:hint="default" w:ascii="Times New Roman" w:hAnsi="Times New Roman" w:eastAsia="宋体" w:cs="Times New Roman"/>
          <w:color w:val="auto"/>
          <w:sz w:val="24"/>
          <w:highlight w:val="none"/>
        </w:rPr>
        <w:t xml:space="preserve"> (如有备选配件，备选配件的报价不属于选择的报价)。</w:t>
      </w:r>
    </w:p>
    <w:p w14:paraId="4E6A661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 标的物</w:t>
      </w:r>
    </w:p>
    <w:p w14:paraId="55399DF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12.2.1采购人需求的货物、供应、安装，调试及有关技术服务等。</w:t>
      </w:r>
    </w:p>
    <w:p w14:paraId="706B3B2E">
      <w:pPr>
        <w:pStyle w:val="5"/>
        <w:shd w:val="clear" w:color="auto" w:fill="auto"/>
        <w:wordWrap/>
        <w:overflowPunct/>
        <w:topLinePunct w:val="0"/>
        <w:bidi w:val="0"/>
        <w:spacing w:line="30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0F043C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12.3投标货币</w:t>
      </w:r>
    </w:p>
    <w:p w14:paraId="3A70AF1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投标文件中的货物单价和总价无特殊规定的采用人民币报价，以元为</w:t>
      </w:r>
      <w:r>
        <w:rPr>
          <w:rFonts w:hint="default" w:ascii="Times New Roman" w:hAnsi="Times New Roman" w:eastAsia="宋体" w:cs="Times New Roman"/>
          <w:bCs/>
          <w:color w:val="auto"/>
          <w:sz w:val="24"/>
          <w:highlight w:val="none"/>
        </w:rPr>
        <w:t>单位标注。招标文件中另有规定的按规定执行。</w:t>
      </w:r>
    </w:p>
    <w:p w14:paraId="5366DCAB">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 12.4 投标配置与分项报价表上的价格应按下列方式分开填写：</w:t>
      </w:r>
    </w:p>
    <w:p w14:paraId="44A9F710">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12.4.1 项目总价应包括但不限于产品以及相应的附件、备件、配件、包装、税费、运杂（到位）、保险、验收、管理、售后服务、维护、人员培训等所产生的费用。</w:t>
      </w:r>
    </w:p>
    <w:p w14:paraId="23C5EB49">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12.4.2 项目单价按投标配置及分项报价表中要求填报。</w:t>
      </w:r>
    </w:p>
    <w:p w14:paraId="22319CB8">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 12.5 本报价必须充分考虑所有可能影响到报价的价格因素，一旦投标结束最终成交，如发生漏、缺、少项，都将被认为是中标人的报价让利行为。</w:t>
      </w:r>
      <w:bookmarkStart w:id="98" w:name="_Hlt26954731"/>
      <w:bookmarkEnd w:id="98"/>
      <w:bookmarkStart w:id="99" w:name="_Hlt26670482"/>
      <w:bookmarkEnd w:id="99"/>
      <w:bookmarkStart w:id="100" w:name="_Hlt26954848"/>
      <w:bookmarkEnd w:id="100"/>
      <w:bookmarkStart w:id="101" w:name="_Hlt26670486"/>
      <w:bookmarkEnd w:id="101"/>
      <w:bookmarkStart w:id="102" w:name="_Hlt26954846"/>
      <w:bookmarkEnd w:id="102"/>
    </w:p>
    <w:p w14:paraId="75D55AB7">
      <w:pPr>
        <w:shd w:val="clear" w:color="auto" w:fill="auto"/>
        <w:wordWrap/>
        <w:overflowPunct/>
        <w:topLinePunct w:val="0"/>
        <w:bidi w:val="0"/>
        <w:snapToGrid w:val="0"/>
        <w:spacing w:line="300" w:lineRule="auto"/>
        <w:ind w:firstLine="358"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8"/>
          <w:szCs w:val="28"/>
          <w:highlight w:val="none"/>
        </w:rPr>
        <w:t>13</w:t>
      </w:r>
      <w:r>
        <w:rPr>
          <w:rFonts w:hint="default" w:ascii="Times New Roman" w:hAnsi="Times New Roman" w:eastAsia="宋体" w:cs="Times New Roman"/>
          <w:bCs/>
          <w:color w:val="auto"/>
          <w:szCs w:val="21"/>
          <w:highlight w:val="none"/>
        </w:rPr>
        <w:t>、</w:t>
      </w:r>
      <w:r>
        <w:rPr>
          <w:rFonts w:hint="default" w:ascii="Times New Roman" w:hAnsi="Times New Roman" w:eastAsia="宋体" w:cs="Times New Roman"/>
          <w:color w:val="auto"/>
          <w:sz w:val="28"/>
          <w:szCs w:val="28"/>
          <w:highlight w:val="none"/>
        </w:rPr>
        <w:t xml:space="preserve">技术参数响应及偏离表、商务条款响应及偏离表 </w:t>
      </w:r>
    </w:p>
    <w:p w14:paraId="2F2A3BCF">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13.1 对招标文件中的技术参数与商务条款要求逐项作出响应或偏离，并说明原因。</w:t>
      </w:r>
    </w:p>
    <w:p w14:paraId="1558A1E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3" w:name="_Toc14577359"/>
      <w:bookmarkStart w:id="104" w:name="_Toc49090510"/>
      <w:r>
        <w:rPr>
          <w:rFonts w:hint="default" w:ascii="Times New Roman" w:hAnsi="Times New Roman" w:eastAsia="宋体" w:cs="Times New Roman"/>
          <w:color w:val="auto"/>
          <w:sz w:val="28"/>
          <w:szCs w:val="28"/>
          <w:highlight w:val="none"/>
        </w:rPr>
        <w:t>14、技术方案及实施方案</w:t>
      </w:r>
    </w:p>
    <w:p w14:paraId="0E0CD636">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14.1投标文件中应体现技术方案、服务承诺、培训承诺和优惠承诺及各项计划。</w:t>
      </w:r>
    </w:p>
    <w:p w14:paraId="77ECB4F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8"/>
          <w:szCs w:val="28"/>
          <w:highlight w:val="none"/>
        </w:rPr>
        <w:t>15、投标人情况介绍</w:t>
      </w:r>
    </w:p>
    <w:p w14:paraId="6D7732A9">
      <w:pPr>
        <w:pStyle w:val="35"/>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15.1 投标人的总体情况应在电子投标文件中作出说明。</w:t>
      </w:r>
    </w:p>
    <w:bookmarkEnd w:id="103"/>
    <w:bookmarkEnd w:id="104"/>
    <w:p w14:paraId="602E9BFF">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05" w:name="_Hlt26954734"/>
      <w:bookmarkEnd w:id="105"/>
      <w:bookmarkStart w:id="106" w:name="_Hlt26954850"/>
      <w:bookmarkEnd w:id="106"/>
      <w:bookmarkStart w:id="107" w:name="EBafc5492861ec403790d6a161ed611335"/>
      <w:bookmarkEnd w:id="107"/>
      <w:bookmarkStart w:id="108" w:name="_Hlt26670489"/>
      <w:bookmarkEnd w:id="108"/>
      <w:bookmarkStart w:id="109" w:name="_Toc49090511"/>
      <w:bookmarkStart w:id="110" w:name="_Toc14577360"/>
      <w:r>
        <w:rPr>
          <w:rFonts w:hint="default" w:ascii="Times New Roman" w:hAnsi="Times New Roman" w:eastAsia="宋体" w:cs="Times New Roman"/>
          <w:color w:val="auto"/>
          <w:sz w:val="28"/>
          <w:szCs w:val="28"/>
          <w:highlight w:val="none"/>
        </w:rPr>
        <w:t>16、投标保证金</w:t>
      </w:r>
    </w:p>
    <w:p w14:paraId="665B85FF">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16.1本次招标不收取投标保证金。</w:t>
      </w:r>
    </w:p>
    <w:bookmarkEnd w:id="109"/>
    <w:bookmarkEnd w:id="110"/>
    <w:p w14:paraId="3F40797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17、投标有效期</w:t>
      </w:r>
    </w:p>
    <w:p w14:paraId="328BD4EF">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17.1 投标有效期为</w:t>
      </w:r>
      <w:bookmarkStart w:id="111" w:name="EB14bb242aab194694b200adfbd996a9fb"/>
      <w:r>
        <w:rPr>
          <w:rFonts w:hint="default" w:ascii="Times New Roman" w:hAnsi="Times New Roman" w:eastAsia="宋体" w:cs="Times New Roman"/>
          <w:bCs/>
          <w:color w:val="auto"/>
          <w:sz w:val="24"/>
          <w:highlight w:val="none"/>
        </w:rPr>
        <w:t>苏州康新恩招投标有限公司</w:t>
      </w:r>
      <w:bookmarkEnd w:id="111"/>
      <w:r>
        <w:rPr>
          <w:rFonts w:hint="default" w:ascii="Times New Roman" w:hAnsi="Times New Roman" w:eastAsia="宋体" w:cs="Times New Roman"/>
          <w:bCs/>
          <w:color w:val="auto"/>
          <w:sz w:val="24"/>
          <w:highlight w:val="none"/>
        </w:rPr>
        <w:t>规定的开标之日后九十（90）天。投标有效期比规定短的将被视为非响应性投标而予以拒绝。</w:t>
      </w:r>
    </w:p>
    <w:p w14:paraId="28BFC035">
      <w:pPr>
        <w:shd w:val="clear" w:color="auto" w:fill="auto"/>
        <w:wordWrap/>
        <w:overflowPunct/>
        <w:topLinePunct w:val="0"/>
        <w:bidi w:val="0"/>
        <w:snapToGrid w:val="0"/>
        <w:spacing w:line="300" w:lineRule="auto"/>
        <w:ind w:firstLine="307" w:firstLineChars="128"/>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17.2 在特殊情况下，</w:t>
      </w:r>
      <w:bookmarkStart w:id="112" w:name="EB744a1ea50d2a4f2a95ff927bac13cc01"/>
      <w:r>
        <w:rPr>
          <w:rFonts w:hint="default" w:ascii="Times New Roman" w:hAnsi="Times New Roman" w:eastAsia="宋体" w:cs="Times New Roman"/>
          <w:bCs/>
          <w:color w:val="auto"/>
          <w:sz w:val="24"/>
          <w:highlight w:val="none"/>
        </w:rPr>
        <w:t>苏州康新恩招投标有限公司</w:t>
      </w:r>
      <w:bookmarkEnd w:id="112"/>
      <w:r>
        <w:rPr>
          <w:rFonts w:hint="default" w:ascii="Times New Roman" w:hAnsi="Times New Roman" w:eastAsia="宋体" w:cs="Times New Roman"/>
          <w:bCs/>
          <w:color w:val="auto"/>
          <w:sz w:val="24"/>
          <w:highlight w:val="none"/>
        </w:rPr>
        <w:t>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bCs/>
          <w:color w:val="auto"/>
          <w:sz w:val="24"/>
          <w:highlight w:val="none"/>
        </w:rPr>
        <w:t>苏州康新恩招投标有限公司</w:t>
      </w:r>
      <w:bookmarkEnd w:id="113"/>
      <w:r>
        <w:rPr>
          <w:rFonts w:hint="default" w:ascii="Times New Roman" w:hAnsi="Times New Roman" w:eastAsia="宋体" w:cs="Times New Roman"/>
          <w:bCs/>
          <w:color w:val="auto"/>
          <w:sz w:val="24"/>
          <w:highlight w:val="none"/>
        </w:rPr>
        <w:t>的这一要求而放弃投标。同意延长投标有效期的投标人既不能要求也不允许修改其投标文件。受投标有效期约束的所有权利与义务均延长至新的有效期。</w:t>
      </w:r>
    </w:p>
    <w:p w14:paraId="6EE96F44">
      <w:pPr>
        <w:shd w:val="clear" w:color="auto" w:fill="auto"/>
        <w:wordWrap/>
        <w:overflowPunct/>
        <w:topLinePunct w:val="0"/>
        <w:bidi w:val="0"/>
        <w:snapToGrid w:val="0"/>
        <w:spacing w:line="300" w:lineRule="auto"/>
        <w:ind w:firstLine="376" w:firstLineChars="128"/>
        <w:rPr>
          <w:rStyle w:val="21"/>
          <w:rFonts w:hint="default" w:ascii="Times New Roman" w:hAnsi="Times New Roman" w:eastAsia="宋体" w:cs="Times New Roman"/>
          <w:b w:val="0"/>
          <w:color w:val="auto"/>
          <w:spacing w:val="7"/>
          <w:sz w:val="28"/>
          <w:highlight w:val="none"/>
        </w:rPr>
      </w:pPr>
      <w:r>
        <w:rPr>
          <w:rStyle w:val="21"/>
          <w:rFonts w:hint="default" w:ascii="Times New Roman" w:hAnsi="Times New Roman" w:eastAsia="宋体" w:cs="Times New Roman"/>
          <w:b w:val="0"/>
          <w:color w:val="auto"/>
          <w:spacing w:val="7"/>
          <w:sz w:val="28"/>
          <w:highlight w:val="none"/>
        </w:rPr>
        <w:t>18、投标文件的签署</w:t>
      </w:r>
    </w:p>
    <w:p w14:paraId="1E839786">
      <w:pPr>
        <w:pStyle w:val="30"/>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18.1 本招标文件所表述（指定）的公章是指法定名称章，不包括合同专用章、业务专用章等印章。</w:t>
      </w:r>
      <w:bookmarkStart w:id="114" w:name="_Hlt26954739"/>
      <w:bookmarkEnd w:id="114"/>
      <w:bookmarkStart w:id="115" w:name="_Hlt26954852"/>
      <w:bookmarkEnd w:id="115"/>
      <w:bookmarkStart w:id="116" w:name="EBa5e69283da1348f3b73656e0fd552d89"/>
      <w:bookmarkEnd w:id="116"/>
      <w:bookmarkStart w:id="117" w:name="_Toc35244871"/>
      <w:bookmarkStart w:id="118" w:name="_Toc6389296"/>
      <w:bookmarkStart w:id="119" w:name="_Toc6388848"/>
      <w:bookmarkStart w:id="120" w:name="_Toc54119649"/>
      <w:bookmarkStart w:id="121" w:name="_Toc120614217"/>
      <w:bookmarkStart w:id="122" w:name="_Toc16938540"/>
      <w:bookmarkStart w:id="123" w:name="_Toc20823296"/>
      <w:bookmarkStart w:id="124" w:name="_Toc513029224"/>
    </w:p>
    <w:p w14:paraId="3F12BB86">
      <w:pPr>
        <w:pStyle w:val="30"/>
        <w:shd w:val="clear" w:color="auto" w:fill="auto"/>
        <w:wordWrap/>
        <w:overflowPunct/>
        <w:topLinePunct w:val="0"/>
        <w:bidi w:val="0"/>
        <w:spacing w:line="300" w:lineRule="auto"/>
        <w:ind w:firstLine="500"/>
        <w:outlineLvl w:val="9"/>
        <w:rPr>
          <w:rStyle w:val="33"/>
          <w:rFonts w:hint="default" w:ascii="Times New Roman" w:hAnsi="Times New Roman" w:eastAsia="宋体" w:cs="Times New Roman"/>
          <w:b/>
          <w:bCs w:val="0"/>
          <w:color w:val="auto"/>
          <w:highlight w:val="none"/>
        </w:rPr>
      </w:pPr>
      <w:r>
        <w:rPr>
          <w:rStyle w:val="33"/>
          <w:rFonts w:hint="default" w:ascii="Times New Roman" w:hAnsi="Times New Roman" w:eastAsia="宋体" w:cs="Times New Roman"/>
          <w:b/>
          <w:bCs w:val="0"/>
          <w:color w:val="auto"/>
          <w:highlight w:val="none"/>
        </w:rPr>
        <w:t>四、</w:t>
      </w:r>
      <w:bookmarkEnd w:id="117"/>
      <w:bookmarkEnd w:id="118"/>
      <w:bookmarkEnd w:id="119"/>
      <w:r>
        <w:rPr>
          <w:rStyle w:val="33"/>
          <w:rFonts w:hint="default" w:ascii="Times New Roman" w:hAnsi="Times New Roman" w:eastAsia="宋体" w:cs="Times New Roman"/>
          <w:b/>
          <w:bCs w:val="0"/>
          <w:color w:val="auto"/>
          <w:highlight w:val="none"/>
        </w:rPr>
        <w:t>投标文件的递交</w:t>
      </w:r>
      <w:bookmarkEnd w:id="120"/>
    </w:p>
    <w:p w14:paraId="04BD087F">
      <w:pPr>
        <w:pStyle w:val="36"/>
        <w:shd w:val="clear" w:color="auto" w:fill="auto"/>
        <w:wordWrap/>
        <w:overflowPunct/>
        <w:topLinePunct w:val="0"/>
        <w:bidi w:val="0"/>
        <w:spacing w:line="300" w:lineRule="auto"/>
        <w:ind w:firstLine="588" w:firstLineChars="200"/>
        <w:outlineLvl w:val="3"/>
        <w:rPr>
          <w:rStyle w:val="21"/>
          <w:rFonts w:hint="default" w:ascii="Times New Roman" w:hAnsi="Times New Roman" w:eastAsia="宋体" w:cs="Times New Roman"/>
          <w:b w:val="0"/>
          <w:color w:val="auto"/>
          <w:spacing w:val="7"/>
          <w:sz w:val="28"/>
          <w:highlight w:val="none"/>
        </w:rPr>
      </w:pPr>
      <w:r>
        <w:rPr>
          <w:rStyle w:val="21"/>
          <w:rFonts w:hint="default" w:ascii="Times New Roman" w:hAnsi="Times New Roman" w:eastAsia="宋体" w:cs="Times New Roman"/>
          <w:b w:val="0"/>
          <w:color w:val="auto"/>
          <w:spacing w:val="7"/>
          <w:sz w:val="28"/>
          <w:highlight w:val="none"/>
        </w:rPr>
        <w:t>19、投标文件的递交</w:t>
      </w:r>
    </w:p>
    <w:p w14:paraId="0F39EFBC">
      <w:pPr>
        <w:pStyle w:val="36"/>
        <w:shd w:val="clear" w:color="auto" w:fill="auto"/>
        <w:wordWrap/>
        <w:overflowPunct/>
        <w:topLinePunct w:val="0"/>
        <w:bidi w:val="0"/>
        <w:spacing w:line="300" w:lineRule="auto"/>
        <w:ind w:firstLine="508" w:firstLineChars="200"/>
        <w:outlineLvl w:val="3"/>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19.1 电子投标文件的递交投标人应当按照《操作手册》规定，在投标截止时间前制作并上传电子投标文件。</w:t>
      </w:r>
    </w:p>
    <w:p w14:paraId="0D480FFD">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25" w:name="EBfc3777c758ec4babb4bf9b969f094487"/>
      <w:bookmarkEnd w:id="125"/>
      <w:bookmarkStart w:id="126" w:name="_Toc6389298"/>
      <w:bookmarkStart w:id="127" w:name="_Toc6388850"/>
      <w:r>
        <w:rPr>
          <w:rFonts w:hint="default" w:ascii="Times New Roman" w:hAnsi="Times New Roman" w:eastAsia="宋体" w:cs="Times New Roman"/>
          <w:color w:val="auto"/>
          <w:sz w:val="28"/>
          <w:szCs w:val="28"/>
          <w:highlight w:val="none"/>
        </w:rPr>
        <w:t>20、投标截止日期</w:t>
      </w:r>
      <w:bookmarkEnd w:id="126"/>
      <w:bookmarkEnd w:id="127"/>
    </w:p>
    <w:p w14:paraId="3D9A4859">
      <w:pPr>
        <w:pStyle w:val="37"/>
        <w:shd w:val="clear" w:color="auto" w:fill="auto"/>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20.1 投标人上传电子投标文件的时间不得迟于招标公告中规定的投标截止时间。</w:t>
      </w:r>
    </w:p>
    <w:p w14:paraId="31017344">
      <w:pPr>
        <w:pStyle w:val="37"/>
        <w:shd w:val="clear" w:color="auto" w:fill="auto"/>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投标人应充分考虑到网络环境、网络带宽等风险因素，如因投标人自身原因造成的电子投标文件上传不成功由投标人自行承担全部责任。</w:t>
      </w:r>
    </w:p>
    <w:p w14:paraId="13F9038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28" w:name="EBc8ad76a9f0394784bc2c7afade7308b0"/>
      <w:bookmarkEnd w:id="128"/>
      <w:r>
        <w:rPr>
          <w:rFonts w:hint="default" w:ascii="Times New Roman" w:hAnsi="Times New Roman" w:eastAsia="宋体" w:cs="Times New Roman"/>
          <w:color w:val="auto"/>
          <w:sz w:val="24"/>
          <w:highlight w:val="none"/>
        </w:rPr>
        <w:t>20.2</w:t>
      </w:r>
      <w:bookmarkStart w:id="129" w:name="EBd057e7daf79748f3b009aba535fc3f46"/>
      <w:r>
        <w:rPr>
          <w:rFonts w:hint="default" w:ascii="Times New Roman" w:hAnsi="Times New Roman" w:eastAsia="宋体" w:cs="Times New Roman"/>
          <w:color w:val="auto"/>
          <w:sz w:val="24"/>
          <w:highlight w:val="none"/>
        </w:rPr>
        <w:t>苏州康新恩招投标有限公司</w:t>
      </w:r>
      <w:bookmarkEnd w:id="129"/>
      <w:r>
        <w:rPr>
          <w:rFonts w:hint="default" w:ascii="Times New Roman" w:hAnsi="Times New Roman" w:eastAsia="宋体" w:cs="Times New Roman"/>
          <w:color w:val="auto"/>
          <w:sz w:val="24"/>
          <w:highlight w:val="none"/>
        </w:rPr>
        <w:t>可以按照规定，通过修改招标文件酌情延长投标截止日期，在此情况下，投标人的所有权利和义务均应以延长后新的截止日期为准。</w:t>
      </w:r>
    </w:p>
    <w:p w14:paraId="292353F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0" w:name="_Toc6389299"/>
      <w:bookmarkStart w:id="131" w:name="_Toc6388851"/>
      <w:r>
        <w:rPr>
          <w:rFonts w:hint="default" w:ascii="Times New Roman" w:hAnsi="Times New Roman" w:eastAsia="宋体" w:cs="Times New Roman"/>
          <w:color w:val="auto"/>
          <w:sz w:val="28"/>
          <w:szCs w:val="28"/>
          <w:highlight w:val="none"/>
        </w:rPr>
        <w:t>21、</w:t>
      </w:r>
      <w:bookmarkEnd w:id="130"/>
      <w:bookmarkEnd w:id="131"/>
      <w:r>
        <w:rPr>
          <w:rFonts w:hint="default" w:ascii="Times New Roman" w:hAnsi="Times New Roman" w:eastAsia="宋体" w:cs="Times New Roman"/>
          <w:color w:val="auto"/>
          <w:sz w:val="28"/>
          <w:szCs w:val="28"/>
          <w:highlight w:val="none"/>
        </w:rPr>
        <w:t>迟交的投标文件</w:t>
      </w:r>
    </w:p>
    <w:p w14:paraId="2E56CCA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21.1</w:t>
      </w:r>
      <w:bookmarkStart w:id="132" w:name="EB23601a5f75064c12bfd46eb7b3c4c778"/>
      <w:r>
        <w:rPr>
          <w:rFonts w:hint="default" w:ascii="Times New Roman" w:hAnsi="Times New Roman" w:eastAsia="宋体" w:cs="Times New Roman"/>
          <w:color w:val="auto"/>
          <w:sz w:val="24"/>
          <w:highlight w:val="none"/>
        </w:rPr>
        <w:t>苏州康新恩招投标有限公司</w:t>
      </w:r>
      <w:bookmarkEnd w:id="132"/>
      <w:r>
        <w:rPr>
          <w:rFonts w:hint="default" w:ascii="Times New Roman" w:hAnsi="Times New Roman" w:eastAsia="宋体" w:cs="Times New Roman"/>
          <w:color w:val="auto"/>
          <w:sz w:val="24"/>
          <w:highlight w:val="none"/>
        </w:rPr>
        <w:t>拒绝接收在其规定的投标截止时间后递交的任何投标文件。</w:t>
      </w:r>
    </w:p>
    <w:p w14:paraId="367265C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3" w:name="_Toc6389300"/>
      <w:bookmarkStart w:id="134" w:name="_Toc6388852"/>
      <w:r>
        <w:rPr>
          <w:rFonts w:hint="default" w:ascii="Times New Roman" w:hAnsi="Times New Roman" w:eastAsia="宋体" w:cs="Times New Roman"/>
          <w:color w:val="auto"/>
          <w:sz w:val="28"/>
          <w:szCs w:val="28"/>
          <w:highlight w:val="none"/>
        </w:rPr>
        <w:t>22、投标文件的修改和撤回</w:t>
      </w:r>
      <w:bookmarkEnd w:id="133"/>
      <w:bookmarkEnd w:id="134"/>
    </w:p>
    <w:p w14:paraId="4C94F91F">
      <w:pPr>
        <w:pStyle w:val="38"/>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22.1 投标人在递交投标文件后，可以修改或撤回其投标文件，但这种修改和撤回，必须在规定的投标截止时间前，具体操作方法见《操作手册》。</w:t>
      </w:r>
    </w:p>
    <w:p w14:paraId="63A6AAEC">
      <w:pPr>
        <w:pStyle w:val="38"/>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22.2 投标人撤回电子投标文件，则认为其不再参与本项目投标活动。</w:t>
      </w:r>
    </w:p>
    <w:p w14:paraId="776EE316">
      <w:pPr>
        <w:pStyle w:val="38"/>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22.3 在投标截止时间之后，投标人不得对其电子投标文件作任何修改。</w:t>
      </w:r>
    </w:p>
    <w:p w14:paraId="11916D28">
      <w:pPr>
        <w:pStyle w:val="38"/>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22.4 在投标截止时间至招标文件中规定的投标有效期满之间的这段时间内，投标人不得撤销其投标。</w:t>
      </w:r>
    </w:p>
    <w:p w14:paraId="6343635E">
      <w:pPr>
        <w:pStyle w:val="38"/>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22.5 不论投标人中标与否，投标文件均不退回。</w:t>
      </w:r>
      <w:bookmarkEnd w:id="121"/>
      <w:bookmarkEnd w:id="122"/>
      <w:bookmarkEnd w:id="123"/>
      <w:bookmarkEnd w:id="124"/>
      <w:bookmarkStart w:id="135" w:name="EB3048b22a8feb4cba9a0389fbb8383c34"/>
      <w:bookmarkEnd w:id="135"/>
      <w:bookmarkStart w:id="136" w:name="_Toc20823301"/>
      <w:bookmarkStart w:id="137" w:name="_Toc16938545"/>
      <w:bookmarkStart w:id="138" w:name="_Toc35244872"/>
      <w:bookmarkStart w:id="139" w:name="_Toc120614218"/>
      <w:bookmarkStart w:id="140" w:name="_Toc54119650"/>
      <w:bookmarkStart w:id="141" w:name="_Toc513029229"/>
    </w:p>
    <w:p w14:paraId="20AEE568">
      <w:pPr>
        <w:pStyle w:val="38"/>
        <w:shd w:val="clear" w:color="auto" w:fill="auto"/>
        <w:wordWrap/>
        <w:overflowPunct/>
        <w:topLinePunct w:val="0"/>
        <w:bidi w:val="0"/>
        <w:spacing w:line="300" w:lineRule="auto"/>
        <w:ind w:firstLine="562" w:firstLineChars="200"/>
        <w:outlineLvl w:val="9"/>
        <w:rPr>
          <w:rStyle w:val="33"/>
          <w:rFonts w:hint="default" w:ascii="Times New Roman" w:hAnsi="Times New Roman" w:eastAsia="宋体" w:cs="Times New Roman"/>
          <w:color w:val="auto"/>
          <w:highlight w:val="none"/>
        </w:rPr>
      </w:pPr>
      <w:r>
        <w:rPr>
          <w:rStyle w:val="33"/>
          <w:rFonts w:hint="default" w:ascii="Times New Roman" w:hAnsi="Times New Roman" w:eastAsia="宋体" w:cs="Times New Roman"/>
          <w:color w:val="auto"/>
          <w:highlight w:val="none"/>
        </w:rPr>
        <w:t>五、开标与评标</w:t>
      </w:r>
      <w:bookmarkEnd w:id="136"/>
      <w:bookmarkEnd w:id="137"/>
      <w:bookmarkEnd w:id="138"/>
      <w:bookmarkEnd w:id="139"/>
      <w:bookmarkEnd w:id="140"/>
      <w:bookmarkEnd w:id="141"/>
    </w:p>
    <w:p w14:paraId="38E7E28F">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42" w:name="_Toc16938546"/>
      <w:bookmarkStart w:id="143" w:name="_Toc20823302"/>
      <w:bookmarkStart w:id="144" w:name="_Toc513029230"/>
      <w:r>
        <w:rPr>
          <w:rFonts w:hint="default" w:ascii="Times New Roman" w:hAnsi="Times New Roman" w:eastAsia="宋体" w:cs="Times New Roman"/>
          <w:color w:val="auto"/>
          <w:sz w:val="28"/>
          <w:szCs w:val="28"/>
          <w:highlight w:val="none"/>
        </w:rPr>
        <w:t>23、开标</w:t>
      </w:r>
      <w:bookmarkEnd w:id="142"/>
      <w:bookmarkEnd w:id="143"/>
      <w:bookmarkEnd w:id="144"/>
    </w:p>
    <w:p w14:paraId="082D0256">
      <w:pPr>
        <w:pStyle w:val="39"/>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23.1 苏州康新恩招投标有限公司将在招标公告中规定的时间和地点组织公开开标。</w:t>
      </w:r>
    </w:p>
    <w:p w14:paraId="0C0D78E8">
      <w:pPr>
        <w:pStyle w:val="39"/>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23.2 开标仪式由苏州康新恩招投标有限公司主持，</w:t>
      </w:r>
      <w:r>
        <w:rPr>
          <w:rStyle w:val="21"/>
          <w:rFonts w:hint="eastAsia" w:ascii="Times New Roman" w:hAnsi="Times New Roman" w:eastAsia="宋体" w:cs="Times New Roman"/>
          <w:b w:val="0"/>
          <w:color w:val="auto"/>
          <w:spacing w:val="7"/>
          <w:sz w:val="24"/>
          <w:highlight w:val="none"/>
          <w:lang w:eastAsia="zh-CN"/>
        </w:rPr>
        <w:t>“</w:t>
      </w:r>
      <w:r>
        <w:rPr>
          <w:rStyle w:val="21"/>
          <w:rFonts w:hint="default" w:ascii="Times New Roman" w:hAnsi="Times New Roman" w:eastAsia="宋体" w:cs="Times New Roman"/>
          <w:b w:val="0"/>
          <w:color w:val="auto"/>
          <w:spacing w:val="7"/>
          <w:sz w:val="24"/>
          <w:highlight w:val="none"/>
        </w:rPr>
        <w:t>苏采云</w:t>
      </w:r>
      <w:r>
        <w:rPr>
          <w:rStyle w:val="21"/>
          <w:rFonts w:hint="eastAsia" w:ascii="Times New Roman" w:hAnsi="Times New Roman" w:eastAsia="宋体" w:cs="Times New Roman"/>
          <w:b w:val="0"/>
          <w:color w:val="auto"/>
          <w:spacing w:val="7"/>
          <w:sz w:val="24"/>
          <w:highlight w:val="none"/>
          <w:lang w:eastAsia="zh-CN"/>
        </w:rPr>
        <w:t>”</w:t>
      </w:r>
      <w:r>
        <w:rPr>
          <w:rStyle w:val="21"/>
          <w:rFonts w:hint="default" w:ascii="Times New Roman" w:hAnsi="Times New Roman" w:eastAsia="宋体" w:cs="Times New Roman"/>
          <w:b w:val="0"/>
          <w:color w:val="auto"/>
          <w:spacing w:val="7"/>
          <w:sz w:val="24"/>
          <w:highlight w:val="none"/>
        </w:rPr>
        <w:t xml:space="preserve">系统将自动对项目进行开标，宣布投标人名称、投标价格和招标文件规定的需要宣布的其他内容。 </w:t>
      </w:r>
    </w:p>
    <w:p w14:paraId="11022C22">
      <w:pPr>
        <w:pStyle w:val="39"/>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22.3 投标人在开标过程中涉及到的投标文件解密等工作，应按照《操作手册》规定执行。投标人须在规定时间内完成投标文件解密。</w:t>
      </w:r>
    </w:p>
    <w:p w14:paraId="29E83717">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45" w:name="EBf9dbe4f0bfbe40c189b2b3fb5a93c56a"/>
      <w:bookmarkEnd w:id="145"/>
      <w:bookmarkStart w:id="146" w:name="_Toc20823303"/>
      <w:bookmarkStart w:id="147" w:name="_Toc513029231"/>
      <w:bookmarkStart w:id="148" w:name="_Toc16938547"/>
      <w:r>
        <w:rPr>
          <w:rFonts w:hint="default" w:ascii="Times New Roman" w:hAnsi="Times New Roman" w:eastAsia="宋体" w:cs="Times New Roman"/>
          <w:color w:val="auto"/>
          <w:sz w:val="28"/>
          <w:szCs w:val="28"/>
          <w:highlight w:val="none"/>
        </w:rPr>
        <w:t>24、评标委员会</w:t>
      </w:r>
    </w:p>
    <w:p w14:paraId="51846CF2">
      <w:pPr>
        <w:shd w:val="clear" w:color="auto" w:fill="auto"/>
        <w:wordWrap/>
        <w:overflowPunct/>
        <w:topLinePunct w:val="0"/>
        <w:bidi w:val="0"/>
        <w:snapToGrid w:val="0"/>
        <w:spacing w:line="300" w:lineRule="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 xml:space="preserve">  24.1</w:t>
      </w: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开标后，</w:t>
      </w:r>
      <w:bookmarkStart w:id="149" w:name="EB19e0bf15e2e14dfa842b67fa68534f91"/>
      <w:r>
        <w:rPr>
          <w:rFonts w:hint="default" w:ascii="Times New Roman" w:hAnsi="Times New Roman" w:eastAsia="宋体" w:cs="Times New Roman"/>
          <w:color w:val="auto"/>
          <w:sz w:val="24"/>
          <w:highlight w:val="none"/>
        </w:rPr>
        <w:t>苏州康新恩招投标有限公司</w:t>
      </w:r>
      <w:bookmarkEnd w:id="149"/>
      <w:r>
        <w:rPr>
          <w:rFonts w:hint="default" w:ascii="Times New Roman" w:hAnsi="Times New Roman" w:eastAsia="宋体" w:cs="Times New Roman"/>
          <w:color w:val="auto"/>
          <w:sz w:val="24"/>
          <w:highlight w:val="none"/>
        </w:rPr>
        <w:t>将立即组织评标委员会（以下简称评委会）进行评标。</w:t>
      </w:r>
    </w:p>
    <w:p w14:paraId="0D663C43">
      <w:pPr>
        <w:shd w:val="clear" w:color="auto" w:fill="auto"/>
        <w:wordWrap/>
        <w:overflowPunct/>
        <w:topLinePunct w:val="0"/>
        <w:bidi w:val="0"/>
        <w:snapToGrid w:val="0"/>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 xml:space="preserve"> 24.2 评委会由评审专家、采购人代表组成，且人员构成符合政府采购有关规定。</w:t>
      </w:r>
    </w:p>
    <w:p w14:paraId="55747387">
      <w:pPr>
        <w:shd w:val="clear" w:color="auto" w:fill="auto"/>
        <w:wordWrap/>
        <w:overflowPunct/>
        <w:topLinePunct w:val="0"/>
        <w:bidi w:val="0"/>
        <w:snapToGrid w:val="0"/>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 xml:space="preserve"> 24.3评委会应以科学、公正的态度参加评审工作并推荐中标候选人。评审专家和采购人代表在评审过程中不受任何干扰，独立、负责地提出评审意见，并对自己的评审意见承担责任。</w:t>
      </w:r>
    </w:p>
    <w:p w14:paraId="424AF017">
      <w:pPr>
        <w:shd w:val="clear" w:color="auto" w:fill="auto"/>
        <w:wordWrap/>
        <w:overflowPunct/>
        <w:topLinePunct w:val="0"/>
        <w:bidi w:val="0"/>
        <w:snapToGrid w:val="0"/>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24.4评委会将对投标人的商业、技术秘密予以保密。</w:t>
      </w:r>
    </w:p>
    <w:p w14:paraId="4E10803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25．评标过程的保密</w:t>
      </w:r>
      <w:bookmarkEnd w:id="146"/>
      <w:bookmarkEnd w:id="147"/>
      <w:bookmarkEnd w:id="148"/>
      <w:r>
        <w:rPr>
          <w:rFonts w:hint="default" w:ascii="Times New Roman" w:hAnsi="Times New Roman" w:eastAsia="宋体" w:cs="Times New Roman"/>
          <w:color w:val="auto"/>
          <w:sz w:val="28"/>
          <w:szCs w:val="28"/>
          <w:highlight w:val="none"/>
        </w:rPr>
        <w:t>与公正</w:t>
      </w:r>
    </w:p>
    <w:p w14:paraId="71C87C3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25.1</w:t>
      </w:r>
      <w:r>
        <w:rPr>
          <w:rFonts w:hint="default" w:ascii="Times New Roman" w:hAnsi="Times New Roman" w:eastAsia="宋体" w:cs="Times New Roman"/>
          <w:bCs/>
          <w:color w:val="auto"/>
          <w:sz w:val="24"/>
          <w:highlight w:val="none"/>
        </w:rPr>
        <w:t>公开开标后，直至向中标的投标人授予合同时止，凡是与审查、澄清、评价和比较投标的有关资料以及授标建议等，均不得向投标人或与评标无关的其他人员透露。</w:t>
      </w:r>
    </w:p>
    <w:p w14:paraId="34D396D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25.2在评标过程中，如果投标人试图向</w:t>
      </w:r>
      <w:bookmarkStart w:id="150" w:name="EB4f654763bdba4e2f80601b2f55ea9e57"/>
      <w:r>
        <w:rPr>
          <w:rFonts w:hint="default" w:ascii="Times New Roman" w:hAnsi="Times New Roman" w:eastAsia="宋体" w:cs="Times New Roman"/>
          <w:color w:val="auto"/>
          <w:sz w:val="24"/>
          <w:highlight w:val="none"/>
        </w:rPr>
        <w:t>苏州康新恩招投标有限公司</w:t>
      </w:r>
      <w:bookmarkEnd w:id="150"/>
      <w:r>
        <w:rPr>
          <w:rFonts w:hint="default" w:ascii="Times New Roman" w:hAnsi="Times New Roman" w:eastAsia="宋体" w:cs="Times New Roman"/>
          <w:color w:val="auto"/>
          <w:sz w:val="24"/>
          <w:highlight w:val="none"/>
        </w:rPr>
        <w:t>和参与评标的人员施加任何影响，都将会导致其投标被拒绝。</w:t>
      </w:r>
    </w:p>
    <w:p w14:paraId="63C684A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1" w:name="_Toc20823304"/>
      <w:bookmarkStart w:id="152" w:name="_Toc16938548"/>
      <w:bookmarkStart w:id="153" w:name="_Toc513029232"/>
      <w:r>
        <w:rPr>
          <w:rFonts w:hint="default" w:ascii="Times New Roman" w:hAnsi="Times New Roman" w:eastAsia="宋体" w:cs="Times New Roman"/>
          <w:color w:val="auto"/>
          <w:sz w:val="28"/>
          <w:szCs w:val="28"/>
          <w:highlight w:val="none"/>
        </w:rPr>
        <w:t>26．投标的澄清</w:t>
      </w:r>
      <w:bookmarkEnd w:id="151"/>
      <w:bookmarkEnd w:id="152"/>
      <w:bookmarkEnd w:id="153"/>
    </w:p>
    <w:p w14:paraId="26214C4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26.1评标期间，为有助于对投标文件的审查、评价和比较，评委会有权要求投标人对其投标文件进行澄清，但并非对每个投标人都作澄清要求。</w:t>
      </w:r>
    </w:p>
    <w:p w14:paraId="20F4BB84">
      <w:pPr>
        <w:pStyle w:val="40"/>
        <w:shd w:val="clear" w:color="auto" w:fill="auto"/>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BA7D4A2">
      <w:pPr>
        <w:shd w:val="clear" w:color="auto" w:fill="auto"/>
        <w:wordWrap/>
        <w:overflowPunct/>
        <w:topLinePunct w:val="0"/>
        <w:bidi w:val="0"/>
        <w:snapToGrid w:val="0"/>
        <w:spacing w:line="300" w:lineRule="auto"/>
        <w:contextualSpacing/>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bookmarkStart w:id="154" w:name="EB85f2a9ba117c492388a73a456bb3e6a7"/>
      <w:bookmarkEnd w:id="154"/>
      <w:r>
        <w:rPr>
          <w:rFonts w:hint="default" w:ascii="Times New Roman" w:hAnsi="Times New Roman" w:eastAsia="宋体" w:cs="Times New Roman"/>
          <w:color w:val="auto"/>
          <w:sz w:val="24"/>
          <w:highlight w:val="none"/>
        </w:rPr>
        <w:t>26.3 接到评委会澄清要求的投标人如未按规定做出澄清，其风险由投标人自行承担。</w:t>
      </w:r>
    </w:p>
    <w:p w14:paraId="43A4911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5" w:name="_Toc513029233"/>
      <w:bookmarkStart w:id="156" w:name="_Toc16938549"/>
      <w:bookmarkStart w:id="157" w:name="_Toc20823305"/>
      <w:r>
        <w:rPr>
          <w:rFonts w:hint="default" w:ascii="Times New Roman" w:hAnsi="Times New Roman" w:eastAsia="宋体" w:cs="Times New Roman"/>
          <w:color w:val="auto"/>
          <w:sz w:val="28"/>
          <w:szCs w:val="28"/>
          <w:highlight w:val="none"/>
        </w:rPr>
        <w:t>27、对投标文件的</w:t>
      </w:r>
      <w:bookmarkEnd w:id="155"/>
      <w:bookmarkEnd w:id="156"/>
      <w:bookmarkEnd w:id="157"/>
      <w:r>
        <w:rPr>
          <w:rFonts w:hint="default" w:ascii="Times New Roman" w:hAnsi="Times New Roman" w:eastAsia="宋体" w:cs="Times New Roman"/>
          <w:color w:val="auto"/>
          <w:sz w:val="28"/>
          <w:szCs w:val="28"/>
          <w:highlight w:val="none"/>
        </w:rPr>
        <w:t>初审</w:t>
      </w:r>
    </w:p>
    <w:p w14:paraId="6D4D5F7A">
      <w:pPr>
        <w:shd w:val="clear" w:color="auto" w:fill="auto"/>
        <w:wordWrap/>
        <w:overflowPunct/>
        <w:topLinePunct w:val="0"/>
        <w:bidi w:val="0"/>
        <w:spacing w:line="300" w:lineRule="auto"/>
        <w:ind w:firstLine="480" w:firstLineChars="200"/>
        <w:jc w:val="left"/>
        <w:rPr>
          <w:rFonts w:hint="default" w:ascii="Times New Roman" w:hAnsi="Times New Roman" w:eastAsia="宋体" w:cs="Times New Roman"/>
          <w:color w:val="auto"/>
          <w:sz w:val="24"/>
          <w:szCs w:val="24"/>
          <w:highlight w:val="none"/>
        </w:rPr>
      </w:pPr>
      <w:bookmarkStart w:id="158" w:name="_Toc200451960"/>
      <w:r>
        <w:rPr>
          <w:rFonts w:hint="default" w:ascii="Times New Roman" w:hAnsi="Times New Roman" w:eastAsia="宋体" w:cs="Times New Roman"/>
          <w:color w:val="auto"/>
          <w:sz w:val="24"/>
          <w:szCs w:val="24"/>
          <w:highlight w:val="none"/>
        </w:rPr>
        <w:t>27.1</w:t>
      </w:r>
      <w:r>
        <w:rPr>
          <w:rFonts w:hint="default" w:ascii="Times New Roman" w:hAnsi="Times New Roman" w:eastAsia="宋体" w:cs="Times New Roman"/>
          <w:bCs/>
          <w:color w:val="auto"/>
          <w:sz w:val="24"/>
          <w:szCs w:val="24"/>
          <w:highlight w:val="none"/>
        </w:rPr>
        <w:t>投标文件初审分为资格审查和符合性审查。</w:t>
      </w:r>
    </w:p>
    <w:p w14:paraId="7B96448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27.1.1</w:t>
      </w:r>
      <w:r>
        <w:rPr>
          <w:rFonts w:hint="default" w:ascii="Times New Roman" w:hAnsi="Times New Roman" w:eastAsia="宋体" w:cs="Times New Roman"/>
          <w:bCs/>
          <w:color w:val="auto"/>
          <w:sz w:val="24"/>
          <w:szCs w:val="24"/>
          <w:highlight w:val="none"/>
        </w:rPr>
        <w:t>资格性审查</w:t>
      </w:r>
    </w:p>
    <w:p w14:paraId="5EB1DBE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采购人或者采购代理机构依法对投标人的资格进行审查。</w:t>
      </w:r>
    </w:p>
    <w:p w14:paraId="60561C51">
      <w:pPr>
        <w:shd w:val="clear" w:color="auto" w:fill="auto"/>
        <w:wordWrap/>
        <w:overflowPunct/>
        <w:topLinePunct w:val="0"/>
        <w:autoSpaceDE w:val="0"/>
        <w:autoSpaceDN w:val="0"/>
        <w:bidi w:val="0"/>
        <w:adjustRightInd w:val="0"/>
        <w:spacing w:line="300" w:lineRule="auto"/>
        <w:ind w:firstLine="505"/>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2</w:t>
      </w:r>
      <w:r>
        <w:rPr>
          <w:rFonts w:hint="default" w:ascii="Times New Roman" w:hAnsi="Times New Roman" w:eastAsia="宋体" w:cs="Times New Roman"/>
          <w:color w:val="auto"/>
          <w:sz w:val="24"/>
          <w:szCs w:val="24"/>
          <w:highlight w:val="none"/>
        </w:rPr>
        <w:t>7</w:t>
      </w:r>
      <w:r>
        <w:rPr>
          <w:rFonts w:hint="default" w:ascii="Times New Roman" w:hAnsi="Times New Roman" w:eastAsia="宋体" w:cs="Times New Roman"/>
          <w:color w:val="auto"/>
          <w:sz w:val="24"/>
          <w:szCs w:val="24"/>
          <w:highlight w:val="none"/>
          <w:lang w:val="zh-CN"/>
        </w:rPr>
        <w:t>.1.</w:t>
      </w:r>
      <w:r>
        <w:rPr>
          <w:rFonts w:hint="default" w:ascii="Times New Roman" w:hAnsi="Times New Roman" w:eastAsia="宋体" w:cs="Times New Roman"/>
          <w:color w:val="auto"/>
          <w:sz w:val="24"/>
          <w:szCs w:val="24"/>
          <w:highlight w:val="none"/>
        </w:rPr>
        <w:t>1.1</w:t>
      </w:r>
      <w:r>
        <w:rPr>
          <w:rFonts w:hint="default" w:ascii="Times New Roman" w:hAnsi="Times New Roman" w:eastAsia="宋体" w:cs="Times New Roman"/>
          <w:color w:val="auto"/>
          <w:sz w:val="24"/>
          <w:szCs w:val="24"/>
          <w:highlight w:val="none"/>
          <w:lang w:val="zh-CN"/>
        </w:rPr>
        <w:t>关于信用查询：</w:t>
      </w:r>
    </w:p>
    <w:p w14:paraId="0D981C2E">
      <w:pPr>
        <w:shd w:val="clear" w:color="auto" w:fill="auto"/>
        <w:wordWrap/>
        <w:overflowPunct/>
        <w:topLinePunct w:val="0"/>
        <w:autoSpaceDE w:val="0"/>
        <w:autoSpaceDN w:val="0"/>
        <w:bidi w:val="0"/>
        <w:adjustRightInd w:val="0"/>
        <w:spacing w:line="300" w:lineRule="auto"/>
        <w:ind w:firstLine="505"/>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2</w:t>
      </w:r>
      <w:r>
        <w:rPr>
          <w:rFonts w:hint="default" w:ascii="Times New Roman" w:hAnsi="Times New Roman" w:eastAsia="宋体" w:cs="Times New Roman"/>
          <w:color w:val="auto"/>
          <w:sz w:val="24"/>
          <w:szCs w:val="24"/>
          <w:highlight w:val="none"/>
        </w:rPr>
        <w:t>7</w:t>
      </w:r>
      <w:r>
        <w:rPr>
          <w:rFonts w:hint="default" w:ascii="Times New Roman" w:hAnsi="Times New Roman" w:eastAsia="宋体" w:cs="Times New Roman"/>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11F68825">
      <w:pPr>
        <w:shd w:val="clear" w:color="auto" w:fill="auto"/>
        <w:wordWrap/>
        <w:overflowPunct/>
        <w:topLinePunct w:val="0"/>
        <w:autoSpaceDE w:val="0"/>
        <w:autoSpaceDN w:val="0"/>
        <w:bidi w:val="0"/>
        <w:adjustRightInd w:val="0"/>
        <w:spacing w:line="300" w:lineRule="auto"/>
        <w:ind w:firstLine="505"/>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2</w:t>
      </w:r>
      <w:r>
        <w:rPr>
          <w:rFonts w:hint="default" w:ascii="Times New Roman" w:hAnsi="Times New Roman" w:eastAsia="宋体" w:cs="Times New Roman"/>
          <w:color w:val="auto"/>
          <w:sz w:val="24"/>
          <w:szCs w:val="24"/>
          <w:highlight w:val="none"/>
        </w:rPr>
        <w:t>7</w:t>
      </w:r>
      <w:r>
        <w:rPr>
          <w:rFonts w:hint="default" w:ascii="Times New Roman" w:hAnsi="Times New Roman" w:eastAsia="宋体" w:cs="Times New Roman"/>
          <w:color w:val="auto"/>
          <w:sz w:val="24"/>
          <w:szCs w:val="24"/>
          <w:highlight w:val="none"/>
          <w:lang w:val="zh-CN"/>
        </w:rPr>
        <w:t>.1.</w:t>
      </w:r>
      <w:r>
        <w:rPr>
          <w:rFonts w:hint="default" w:ascii="Times New Roman" w:hAnsi="Times New Roman" w:eastAsia="宋体" w:cs="Times New Roman"/>
          <w:color w:val="auto"/>
          <w:sz w:val="24"/>
          <w:szCs w:val="24"/>
          <w:highlight w:val="none"/>
        </w:rPr>
        <w:t>1.1.2</w:t>
      </w:r>
      <w:r>
        <w:rPr>
          <w:rFonts w:hint="default" w:ascii="Times New Roman" w:hAnsi="Times New Roman" w:eastAsia="宋体" w:cs="Times New Roman"/>
          <w:color w:val="auto"/>
          <w:sz w:val="24"/>
          <w:szCs w:val="24"/>
          <w:highlight w:val="none"/>
          <w:lang w:val="zh-CN"/>
        </w:rPr>
        <w:t>查询时间：投标文件递交截止时间。</w:t>
      </w:r>
    </w:p>
    <w:p w14:paraId="6DFE17AF">
      <w:pPr>
        <w:shd w:val="clear" w:color="auto" w:fill="auto"/>
        <w:wordWrap/>
        <w:overflowPunct/>
        <w:topLinePunct w:val="0"/>
        <w:autoSpaceDE w:val="0"/>
        <w:autoSpaceDN w:val="0"/>
        <w:bidi w:val="0"/>
        <w:adjustRightInd w:val="0"/>
        <w:spacing w:line="300" w:lineRule="auto"/>
        <w:ind w:firstLine="505"/>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27.1.1.1.3 查询渠道： 查询渠道：将在</w:t>
      </w:r>
      <w:r>
        <w:rPr>
          <w:rFonts w:hint="eastAsia" w:ascii="Times New Roman" w:hAnsi="Times New Roman" w:cs="Times New Roman"/>
          <w:color w:val="auto"/>
          <w:sz w:val="24"/>
          <w:szCs w:val="24"/>
          <w:highlight w:val="none"/>
          <w:lang w:val="zh-CN"/>
        </w:rPr>
        <w:t>“</w:t>
      </w:r>
      <w:r>
        <w:rPr>
          <w:rFonts w:hint="default" w:ascii="Times New Roman" w:hAnsi="Times New Roman" w:eastAsia="宋体" w:cs="Times New Roman"/>
          <w:color w:val="auto"/>
          <w:sz w:val="24"/>
          <w:szCs w:val="24"/>
          <w:highlight w:val="none"/>
          <w:lang w:val="zh-CN"/>
        </w:rPr>
        <w:t>信用中国</w:t>
      </w:r>
      <w:r>
        <w:rPr>
          <w:rFonts w:hint="eastAsia" w:ascii="Times New Roman" w:hAnsi="Times New Roman" w:cs="Times New Roman"/>
          <w:color w:val="auto"/>
          <w:sz w:val="24"/>
          <w:szCs w:val="24"/>
          <w:highlight w:val="none"/>
          <w:lang w:val="zh-CN"/>
        </w:rPr>
        <w:t>”</w:t>
      </w:r>
      <w:r>
        <w:rPr>
          <w:rFonts w:hint="default" w:ascii="Times New Roman" w:hAnsi="Times New Roman" w:eastAsia="宋体" w:cs="Times New Roman"/>
          <w:color w:val="auto"/>
          <w:sz w:val="24"/>
          <w:szCs w:val="24"/>
          <w:highlight w:val="none"/>
          <w:lang w:val="zh-CN"/>
        </w:rPr>
        <w:t>网站（www.creditchina.gov.cn）查询相关主体信用记录，以确定投标人是否具备投标资格，查询结果留存并归档。</w:t>
      </w:r>
    </w:p>
    <w:p w14:paraId="4CA58B8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27.1.2 </w:t>
      </w:r>
      <w:r>
        <w:rPr>
          <w:rFonts w:hint="default" w:ascii="Times New Roman" w:hAnsi="Times New Roman" w:eastAsia="宋体" w:cs="Times New Roman"/>
          <w:bCs/>
          <w:color w:val="auto"/>
          <w:sz w:val="24"/>
          <w:szCs w:val="24"/>
          <w:highlight w:val="none"/>
        </w:rPr>
        <w:t>符合性审查：</w:t>
      </w:r>
    </w:p>
    <w:p w14:paraId="506C0B28">
      <w:pPr>
        <w:shd w:val="clear" w:color="auto" w:fill="auto"/>
        <w:wordWrap/>
        <w:overflowPunct/>
        <w:topLinePunct w:val="0"/>
        <w:bidi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依据招标文件的规定，由评委会对投标文件进行审查，以确定是否对招标文件的实质性要求作出响应。</w:t>
      </w:r>
    </w:p>
    <w:p w14:paraId="45CD287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40ED1A4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olor w:val="auto"/>
          <w:sz w:val="24"/>
          <w:szCs w:val="24"/>
          <w:highlight w:val="none"/>
        </w:rPr>
        <w:t>评委会决定投标文件的响应性只根据投标文件本身的内容，而不寻求外部的证据。</w:t>
      </w:r>
    </w:p>
    <w:p w14:paraId="4F48007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27.3 </w:t>
      </w:r>
      <w:r>
        <w:rPr>
          <w:rFonts w:hint="default" w:ascii="Times New Roman" w:hAnsi="Times New Roman" w:eastAsia="宋体" w:cs="Times New Roman"/>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4122906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27.4 投标文件报价出现前后不一致的，按下列规定修正：</w:t>
      </w:r>
      <w:r>
        <w:rPr>
          <w:rFonts w:hint="default" w:ascii="Times New Roman" w:hAnsi="Times New Roman" w:eastAsia="宋体" w:cs="Times New Roman"/>
          <w:bCs/>
          <w:color w:val="auto"/>
          <w:sz w:val="24"/>
          <w:szCs w:val="24"/>
          <w:highlight w:val="none"/>
        </w:rPr>
        <w:t xml:space="preserve"> </w:t>
      </w:r>
    </w:p>
    <w:p w14:paraId="131336CB">
      <w:pPr>
        <w:shd w:val="clear" w:color="auto" w:fill="auto"/>
        <w:wordWrap/>
        <w:overflowPunct/>
        <w:topLinePunct w:val="0"/>
        <w:bidi w:val="0"/>
        <w:spacing w:line="300" w:lineRule="auto"/>
        <w:ind w:firstLine="480" w:firstLineChars="200"/>
        <w:jc w:val="lef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kern w:val="0"/>
          <w:sz w:val="24"/>
          <w:szCs w:val="24"/>
          <w:highlight w:val="none"/>
        </w:rPr>
        <w:t>投标文件中开标一览表（报价表）内容与投标文件中相应内容不一致的，以开标一览表（报价表）为准；</w:t>
      </w:r>
    </w:p>
    <w:p w14:paraId="74CCFBA0">
      <w:pPr>
        <w:shd w:val="clear" w:color="auto" w:fill="auto"/>
        <w:wordWrap/>
        <w:overflowPunct/>
        <w:topLinePunct w:val="0"/>
        <w:bidi w:val="0"/>
        <w:spacing w:line="300" w:lineRule="auto"/>
        <w:jc w:val="lef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kern w:val="0"/>
          <w:sz w:val="24"/>
          <w:szCs w:val="24"/>
          <w:highlight w:val="none"/>
        </w:rPr>
        <w:t>大写金额和小写金额不一致的，以大写金额为准；</w:t>
      </w:r>
    </w:p>
    <w:p w14:paraId="1D340EAD">
      <w:pPr>
        <w:shd w:val="clear" w:color="auto" w:fill="auto"/>
        <w:wordWrap/>
        <w:overflowPunct/>
        <w:topLinePunct w:val="0"/>
        <w:bidi w:val="0"/>
        <w:spacing w:line="300" w:lineRule="auto"/>
        <w:jc w:val="lef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kern w:val="0"/>
          <w:sz w:val="24"/>
          <w:szCs w:val="24"/>
          <w:highlight w:val="none"/>
        </w:rPr>
        <w:t>单价金额小数点或者百分比有明显错位的，以开标一览表的总价为准，并修改单价；</w:t>
      </w:r>
    </w:p>
    <w:p w14:paraId="4CB39058">
      <w:pPr>
        <w:shd w:val="clear" w:color="auto" w:fill="auto"/>
        <w:wordWrap/>
        <w:overflowPunct/>
        <w:topLinePunct w:val="0"/>
        <w:bidi w:val="0"/>
        <w:spacing w:line="300" w:lineRule="auto"/>
        <w:jc w:val="lef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kern w:val="0"/>
          <w:sz w:val="24"/>
          <w:szCs w:val="24"/>
          <w:highlight w:val="none"/>
        </w:rPr>
        <w:t>总价金额与按单价汇总金额不一致的，以单价金额计算结果为准。</w:t>
      </w:r>
    </w:p>
    <w:p w14:paraId="7CD01E08">
      <w:pPr>
        <w:shd w:val="clear" w:color="auto" w:fill="auto"/>
        <w:wordWrap/>
        <w:overflowPunct/>
        <w:topLinePunct w:val="0"/>
        <w:bidi w:val="0"/>
        <w:spacing w:line="300" w:lineRule="auto"/>
        <w:jc w:val="left"/>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同时出现两种以上不一致的，按照前款规定的顺序修正。修正后的报价按照财政部87号令第五十一条第二款的规定经投标人确认后产生约束力。</w:t>
      </w:r>
    </w:p>
    <w:p w14:paraId="2911E24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color w:val="auto"/>
          <w:kern w:val="0"/>
          <w:sz w:val="24"/>
          <w:szCs w:val="24"/>
          <w:highlight w:val="none"/>
        </w:rPr>
        <w:t xml:space="preserve">27.5 </w:t>
      </w:r>
      <w:r>
        <w:rPr>
          <w:rFonts w:hint="default" w:ascii="Times New Roman" w:hAnsi="Times New Roman" w:eastAsia="宋体" w:cs="Times New Roman"/>
          <w:bCs/>
          <w:color w:val="auto"/>
          <w:kern w:val="0"/>
          <w:sz w:val="24"/>
          <w:szCs w:val="24"/>
          <w:highlight w:val="none"/>
        </w:rPr>
        <w:t>评委会将允许修正投标文件中不构成重大偏离的、微小的、非正规的、不一致的或不规则的地方，但这些修改不能影响任何投标人相应的名次排列。</w:t>
      </w:r>
    </w:p>
    <w:p w14:paraId="58A5F72A">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27.6 投标人在开、评标全过程中应保持通讯畅通，并安排专人与公共资源交易中心及评标委员会联系。</w:t>
      </w:r>
    </w:p>
    <w:p w14:paraId="452D3316">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w:t>
      </w:r>
      <w:r>
        <w:rPr>
          <w:rStyle w:val="21"/>
          <w:rFonts w:hint="eastAsia" w:ascii="Times New Roman" w:hAnsi="Times New Roman" w:cs="Times New Roman"/>
          <w:b w:val="0"/>
          <w:color w:val="auto"/>
          <w:spacing w:val="7"/>
          <w:sz w:val="24"/>
          <w:highlight w:val="none"/>
          <w:lang w:val="en-US" w:eastAsia="zh-CN"/>
        </w:rPr>
        <w:t>7</w:t>
      </w:r>
      <w:r>
        <w:rPr>
          <w:rStyle w:val="21"/>
          <w:rFonts w:hint="default" w:ascii="Times New Roman" w:hAnsi="Times New Roman" w:eastAsia="宋体" w:cs="Times New Roman"/>
          <w:b w:val="0"/>
          <w:color w:val="auto"/>
          <w:spacing w:val="7"/>
          <w:sz w:val="24"/>
          <w:highlight w:val="none"/>
        </w:rPr>
        <w:t>.</w:t>
      </w:r>
      <w:r>
        <w:rPr>
          <w:rStyle w:val="21"/>
          <w:rFonts w:hint="default" w:ascii="Times New Roman" w:hAnsi="Times New Roman" w:eastAsia="宋体" w:cs="Times New Roman"/>
          <w:b w:val="0"/>
          <w:color w:val="auto"/>
          <w:spacing w:val="7"/>
          <w:sz w:val="24"/>
          <w:highlight w:val="none"/>
          <w:lang w:val="en-US" w:eastAsia="zh-CN"/>
        </w:rPr>
        <w:t>7</w:t>
      </w:r>
      <w:r>
        <w:rPr>
          <w:rStyle w:val="21"/>
          <w:rFonts w:hint="default" w:ascii="Times New Roman" w:hAnsi="Times New Roman" w:eastAsia="宋体" w:cs="Times New Roman"/>
          <w:b w:val="0"/>
          <w:color w:val="auto"/>
          <w:spacing w:val="7"/>
          <w:sz w:val="24"/>
          <w:highlight w:val="none"/>
        </w:rPr>
        <w:t xml:space="preserve"> 评审过程中出现下列情形之一的，评审委员会应当启动异常低价投标（响应）审查程序：</w:t>
      </w:r>
    </w:p>
    <w:p w14:paraId="44C6F278">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（1）投标（响应）报价低于采购项目预算50%的，即投标（响应）报价&lt;采购项目预算×50%；</w:t>
      </w:r>
    </w:p>
    <w:p w14:paraId="6B43B1C0">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（2）投标（响应）报价低于采购项目最高限价45%的，即投标（响应）报价&lt;采购项目最高限价×45%；</w:t>
      </w:r>
    </w:p>
    <w:p w14:paraId="2F5874BF">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（3）评审委员会认定的供应商报价过低、有可能影响产品质量或者不能诚信履约的其他情形。</w:t>
      </w:r>
    </w:p>
    <w:p w14:paraId="568C6C4E">
      <w:pPr>
        <w:shd w:val="clear" w:color="auto" w:fill="auto"/>
        <w:wordWrap/>
        <w:overflowPunct/>
        <w:topLinePunct w:val="0"/>
        <w:bidi w:val="0"/>
        <w:snapToGrid w:val="0"/>
        <w:spacing w:line="300" w:lineRule="auto"/>
        <w:ind w:firstLine="508" w:firstLineChars="200"/>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w:t>
      </w:r>
      <w:r>
        <w:rPr>
          <w:rStyle w:val="21"/>
          <w:rFonts w:hint="eastAsia" w:ascii="Times New Roman" w:hAnsi="Times New Roman" w:cs="Times New Roman"/>
          <w:b w:val="0"/>
          <w:color w:val="auto"/>
          <w:spacing w:val="7"/>
          <w:sz w:val="24"/>
          <w:highlight w:val="none"/>
          <w:lang w:val="en-US" w:eastAsia="zh-CN"/>
        </w:rPr>
        <w:t>7</w:t>
      </w:r>
      <w:r>
        <w:rPr>
          <w:rStyle w:val="21"/>
          <w:rFonts w:hint="default" w:ascii="Times New Roman" w:hAnsi="Times New Roman" w:eastAsia="宋体" w:cs="Times New Roman"/>
          <w:b w:val="0"/>
          <w:color w:val="auto"/>
          <w:spacing w:val="7"/>
          <w:sz w:val="24"/>
          <w:highlight w:val="none"/>
        </w:rPr>
        <w:t>.</w:t>
      </w:r>
      <w:r>
        <w:rPr>
          <w:rStyle w:val="21"/>
          <w:rFonts w:hint="default" w:ascii="Times New Roman" w:hAnsi="Times New Roman" w:eastAsia="宋体" w:cs="Times New Roman"/>
          <w:b w:val="0"/>
          <w:color w:val="auto"/>
          <w:spacing w:val="7"/>
          <w:sz w:val="24"/>
          <w:highlight w:val="none"/>
          <w:lang w:val="en-US" w:eastAsia="zh-CN"/>
        </w:rPr>
        <w:t>8</w:t>
      </w:r>
      <w:r>
        <w:rPr>
          <w:rStyle w:val="21"/>
          <w:rFonts w:hint="default" w:ascii="Times New Roman" w:hAnsi="Times New Roman" w:eastAsia="宋体" w:cs="Times New Roman"/>
          <w:b w:val="0"/>
          <w:color w:val="auto"/>
          <w:spacing w:val="7"/>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2079936">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59" w:name="EBc6309fa56c9a4b6e8130df7b88e7a69c"/>
      <w:bookmarkEnd w:id="159"/>
      <w:bookmarkStart w:id="160" w:name="_Toc20823306"/>
      <w:bookmarkStart w:id="161" w:name="_Toc16938550"/>
      <w:bookmarkStart w:id="162" w:name="_Toc513029234"/>
      <w:r>
        <w:rPr>
          <w:rFonts w:hint="default" w:ascii="Times New Roman" w:hAnsi="Times New Roman" w:eastAsia="宋体" w:cs="Times New Roman"/>
          <w:color w:val="auto"/>
          <w:sz w:val="28"/>
          <w:szCs w:val="28"/>
          <w:highlight w:val="none"/>
        </w:rPr>
        <w:t>28、</w:t>
      </w:r>
      <w:bookmarkEnd w:id="160"/>
      <w:bookmarkEnd w:id="161"/>
      <w:bookmarkEnd w:id="162"/>
      <w:r>
        <w:rPr>
          <w:rFonts w:hint="default" w:ascii="Times New Roman" w:hAnsi="Times New Roman" w:eastAsia="宋体" w:cs="Times New Roman"/>
          <w:color w:val="auto"/>
          <w:sz w:val="28"/>
          <w:szCs w:val="28"/>
          <w:highlight w:val="none"/>
        </w:rPr>
        <w:t>无效投标条款和废标条款</w:t>
      </w:r>
    </w:p>
    <w:p w14:paraId="19BF2D04">
      <w:pPr>
        <w:pStyle w:val="41"/>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28.1 无效投标条款</w:t>
      </w:r>
    </w:p>
    <w:p w14:paraId="0131B7C7">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 投标人未按照招标文件要求上传电子投标文件的；</w:t>
      </w:r>
    </w:p>
    <w:p w14:paraId="1B46B58E">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28.1.2 投标人在规定时间内不解密投标文件或未成功解密投标文件的（因系统原因导致的除外)；</w:t>
      </w:r>
    </w:p>
    <w:p w14:paraId="75372E24">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28.1.3 投标文件中没有《开标一览表》或《开标一览表》未加盖投标人公章的； </w:t>
      </w:r>
    </w:p>
    <w:p w14:paraId="4317CCEB">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28.1.4 投标文件中任何有选择的报价；</w:t>
      </w:r>
    </w:p>
    <w:p w14:paraId="33D8B25E">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28.1.5 投标文件报价出现前后不一致的，按招标文件规定修正后投标人不确认的； </w:t>
      </w:r>
    </w:p>
    <w:p w14:paraId="2A2A6378">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28.1.6 不同投标人的投标文件由同一单位或者个人编制； </w:t>
      </w:r>
    </w:p>
    <w:p w14:paraId="51866873">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28.1.7 不同投标人委托同一单位或者个人办理投标事宜； </w:t>
      </w:r>
    </w:p>
    <w:p w14:paraId="7855A4BF">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28.1.8 不同投标人的投标文件载明的项目管理成员或者联系人员为同一人；</w:t>
      </w:r>
    </w:p>
    <w:p w14:paraId="2058662D">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28.1.9 不同投标人的投标文件异常一致或者投标报价呈规律性差异；</w:t>
      </w:r>
    </w:p>
    <w:p w14:paraId="7EDDDEAA">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28.1.10 不同投标人的电子投标文件由同一台电脑制作的； </w:t>
      </w:r>
    </w:p>
    <w:p w14:paraId="3B997C44">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FE6F032">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28.1.12 凡</w:t>
      </w:r>
      <w:r>
        <w:rPr>
          <w:rStyle w:val="21"/>
          <w:rFonts w:hint="eastAsia" w:ascii="Times New Roman" w:hAnsi="Times New Roman" w:eastAsia="宋体" w:cs="Times New Roman"/>
          <w:b w:val="0"/>
          <w:color w:val="auto"/>
          <w:spacing w:val="7"/>
          <w:sz w:val="24"/>
          <w:highlight w:val="none"/>
          <w:lang w:eastAsia="zh-CN"/>
        </w:rPr>
        <w:t>“</w:t>
      </w:r>
      <w:r>
        <w:rPr>
          <w:rStyle w:val="21"/>
          <w:rFonts w:hint="default" w:ascii="Times New Roman" w:hAnsi="Times New Roman" w:eastAsia="宋体" w:cs="Times New Roman"/>
          <w:b w:val="0"/>
          <w:color w:val="auto"/>
          <w:spacing w:val="7"/>
          <w:sz w:val="24"/>
          <w:highlight w:val="none"/>
        </w:rPr>
        <w:t>节能产品政府采购品目清单</w:t>
      </w:r>
      <w:r>
        <w:rPr>
          <w:rStyle w:val="21"/>
          <w:rFonts w:hint="eastAsia" w:ascii="Times New Roman" w:hAnsi="Times New Roman" w:eastAsia="宋体" w:cs="Times New Roman"/>
          <w:b w:val="0"/>
          <w:color w:val="auto"/>
          <w:spacing w:val="7"/>
          <w:sz w:val="24"/>
          <w:highlight w:val="none"/>
          <w:lang w:eastAsia="zh-CN"/>
        </w:rPr>
        <w:t>”</w:t>
      </w:r>
      <w:r>
        <w:rPr>
          <w:rStyle w:val="21"/>
          <w:rFonts w:hint="default" w:ascii="Times New Roman" w:hAnsi="Times New Roman" w:eastAsia="宋体" w:cs="Times New Roman"/>
          <w:b w:val="0"/>
          <w:color w:val="auto"/>
          <w:spacing w:val="7"/>
          <w:sz w:val="24"/>
          <w:highlight w:val="none"/>
        </w:rPr>
        <w:t>中以★标注的政府强制采购产品，投标文件中未提供国家确定的认证机构出具的、处于有效期之内的节能产品认证证书的（若证书有附件（附录）的，附件（附录）须随证书一起提供)；</w:t>
      </w:r>
    </w:p>
    <w:p w14:paraId="0A0E172F">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p>
    <w:p w14:paraId="08FEE584">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28.1.14 不同供应商的单位负责人为同一人或者存在直接控股、管理关系的； </w:t>
      </w:r>
    </w:p>
    <w:p w14:paraId="741DE5A5">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28.1.15 为采购项目提供整体设计、规范编制或者项目管理、监理、检测等服务的；</w:t>
      </w:r>
    </w:p>
    <w:p w14:paraId="46951F70">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28.1.16 资格证明文件中要求加盖公章而未加盖公章的； </w:t>
      </w:r>
    </w:p>
    <w:p w14:paraId="008876F9">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28.1.17 投标文件未按招标文件要求签署、盖章的； </w:t>
      </w:r>
    </w:p>
    <w:p w14:paraId="7FC03B82">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28.1.18 不具备招标文件中规定的资格要求或未按招标文件规定的要求提供资格证明文件的； </w:t>
      </w:r>
    </w:p>
    <w:p w14:paraId="30B73F86">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28.1.19 报价超过招标文件中规定的预算金额或者最高限价的； </w:t>
      </w:r>
    </w:p>
    <w:p w14:paraId="07596062">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28.1.20 投标文件含有采购人不能接受的附加条件的； </w:t>
      </w:r>
    </w:p>
    <w:p w14:paraId="3B9D2FCD">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28.1.21 不响应招标文件中规定的实质性要求的（本招标文件中斜体且有下划线部分为实质性要求）； </w:t>
      </w:r>
    </w:p>
    <w:p w14:paraId="146938FE">
      <w:pPr>
        <w:pStyle w:val="42"/>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28.1.22 法律、法规和</w:t>
      </w:r>
      <w:r>
        <w:rPr>
          <w:rStyle w:val="21"/>
          <w:rFonts w:hint="default" w:ascii="Times New Roman" w:hAnsi="Times New Roman" w:eastAsia="宋体" w:cs="Times New Roman"/>
          <w:b w:val="0"/>
          <w:color w:val="auto"/>
          <w:spacing w:val="7"/>
          <w:sz w:val="24"/>
          <w:highlight w:val="none"/>
          <w:lang w:eastAsia="zh-CN"/>
        </w:rPr>
        <w:t>招标文件</w:t>
      </w:r>
      <w:r>
        <w:rPr>
          <w:rStyle w:val="21"/>
          <w:rFonts w:hint="default" w:ascii="Times New Roman" w:hAnsi="Times New Roman" w:eastAsia="宋体" w:cs="Times New Roman"/>
          <w:b w:val="0"/>
          <w:color w:val="auto"/>
          <w:spacing w:val="7"/>
          <w:sz w:val="24"/>
          <w:highlight w:val="none"/>
        </w:rPr>
        <w:t>规定的其他无效情形</w:t>
      </w:r>
      <w:r>
        <w:rPr>
          <w:rStyle w:val="21"/>
          <w:rFonts w:hint="default" w:ascii="Times New Roman" w:hAnsi="Times New Roman" w:eastAsia="宋体" w:cs="Times New Roman"/>
          <w:b w:val="0"/>
          <w:color w:val="auto"/>
          <w:spacing w:val="7"/>
          <w:sz w:val="24"/>
          <w:highlight w:val="none"/>
          <w:lang w:eastAsia="zh-CN"/>
        </w:rPr>
        <w:t>；</w:t>
      </w:r>
      <w:r>
        <w:rPr>
          <w:rStyle w:val="21"/>
          <w:rFonts w:hint="default" w:ascii="Times New Roman" w:hAnsi="Times New Roman" w:eastAsia="宋体" w:cs="Times New Roman"/>
          <w:b w:val="0"/>
          <w:color w:val="auto"/>
          <w:spacing w:val="7"/>
          <w:sz w:val="24"/>
          <w:highlight w:val="none"/>
        </w:rPr>
        <w:t xml:space="preserve"> </w:t>
      </w:r>
    </w:p>
    <w:p w14:paraId="505C1016">
      <w:pPr>
        <w:pStyle w:val="43"/>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28.2 废标条款：</w:t>
      </w:r>
    </w:p>
    <w:p w14:paraId="5FDE57BF">
      <w:pPr>
        <w:pStyle w:val="43"/>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(1)符合专业条件的供应商或者对招标文件作实质响应的供应商不足三家的； </w:t>
      </w:r>
    </w:p>
    <w:p w14:paraId="3F918BFB">
      <w:pPr>
        <w:pStyle w:val="43"/>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(2)出现影响采购公正的违法、违规行为的；</w:t>
      </w:r>
    </w:p>
    <w:p w14:paraId="6496F532">
      <w:pPr>
        <w:pStyle w:val="43"/>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(3)投标人的报价均超过了采购预算，采购人不能支付的；</w:t>
      </w:r>
    </w:p>
    <w:p w14:paraId="2ECA10ED">
      <w:pPr>
        <w:pStyle w:val="43"/>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 xml:space="preserve"> (4)因重大变故，采购任务取消的。</w:t>
      </w:r>
    </w:p>
    <w:p w14:paraId="4104CAF2">
      <w:pPr>
        <w:pStyle w:val="43"/>
        <w:shd w:val="clear" w:color="auto" w:fill="auto"/>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28.3 投标截止时间结束后参加投标的供应商不足三家的处理：</w:t>
      </w:r>
    </w:p>
    <w:p w14:paraId="61AFE833">
      <w:pPr>
        <w:pStyle w:val="43"/>
        <w:shd w:val="clear" w:color="auto" w:fill="auto"/>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28.3.1 如出现投标截止时间结束后参加投标的供应商或者在评标期间对招标文件做出实质响应的供应商不足三家情况，按财政部第87号令第四十三条的规定执行。</w:t>
      </w:r>
      <w:bookmarkStart w:id="163" w:name="EB620d55f0994b45aab81e215d9bcff28c"/>
      <w:bookmarkEnd w:id="163"/>
      <w:bookmarkStart w:id="164" w:name="_Toc20823307"/>
      <w:bookmarkStart w:id="165" w:name="_Toc513029235"/>
      <w:bookmarkStart w:id="166" w:name="_Toc16938551"/>
      <w:bookmarkStart w:id="167" w:name="_Toc35244873"/>
      <w:bookmarkStart w:id="168" w:name="_Toc54119651"/>
      <w:bookmarkStart w:id="169" w:name="_Toc120614219"/>
    </w:p>
    <w:p w14:paraId="73DAE042">
      <w:pPr>
        <w:pStyle w:val="43"/>
        <w:shd w:val="clear" w:color="auto" w:fill="auto"/>
        <w:wordWrap/>
        <w:overflowPunct/>
        <w:topLinePunct w:val="0"/>
        <w:bidi w:val="0"/>
        <w:spacing w:line="300" w:lineRule="auto"/>
        <w:ind w:firstLine="562" w:firstLineChars="200"/>
        <w:outlineLvl w:val="9"/>
        <w:rPr>
          <w:rStyle w:val="33"/>
          <w:rFonts w:hint="default" w:ascii="Times New Roman" w:hAnsi="Times New Roman" w:eastAsia="宋体" w:cs="Times New Roman"/>
          <w:color w:val="auto"/>
          <w:highlight w:val="none"/>
        </w:rPr>
      </w:pPr>
      <w:r>
        <w:rPr>
          <w:rStyle w:val="33"/>
          <w:rFonts w:hint="default" w:ascii="Times New Roman" w:hAnsi="Times New Roman" w:eastAsia="宋体" w:cs="Times New Roman"/>
          <w:color w:val="auto"/>
          <w:highlight w:val="none"/>
        </w:rPr>
        <w:t>六、</w:t>
      </w:r>
      <w:bookmarkEnd w:id="164"/>
      <w:bookmarkEnd w:id="165"/>
      <w:bookmarkEnd w:id="166"/>
      <w:r>
        <w:rPr>
          <w:rStyle w:val="33"/>
          <w:rFonts w:hint="default" w:ascii="Times New Roman" w:hAnsi="Times New Roman" w:eastAsia="宋体" w:cs="Times New Roman"/>
          <w:color w:val="auto"/>
          <w:highlight w:val="none"/>
        </w:rPr>
        <w:t>定标</w:t>
      </w:r>
      <w:bookmarkEnd w:id="167"/>
      <w:bookmarkEnd w:id="168"/>
      <w:bookmarkEnd w:id="169"/>
    </w:p>
    <w:p w14:paraId="2D5069B1">
      <w:pPr>
        <w:keepNext/>
        <w:keepLines/>
        <w:shd w:val="clear" w:color="auto" w:fill="auto"/>
        <w:wordWrap/>
        <w:overflowPunct/>
        <w:topLinePunct w:val="0"/>
        <w:bidi w:val="0"/>
        <w:snapToGrid w:val="0"/>
        <w:spacing w:line="300" w:lineRule="auto"/>
        <w:ind w:firstLine="560" w:firstLineChars="200"/>
        <w:outlineLvl w:val="3"/>
        <w:rPr>
          <w:rFonts w:hint="default" w:ascii="Times New Roman" w:hAnsi="Times New Roman" w:eastAsia="宋体" w:cs="Times New Roman"/>
          <w:color w:val="auto"/>
          <w:sz w:val="28"/>
          <w:szCs w:val="28"/>
          <w:highlight w:val="none"/>
        </w:rPr>
      </w:pPr>
      <w:bookmarkStart w:id="170" w:name="_Toc513029238"/>
      <w:bookmarkStart w:id="171" w:name="_Toc16938554"/>
      <w:bookmarkStart w:id="172" w:name="_Toc20823310"/>
      <w:r>
        <w:rPr>
          <w:rFonts w:hint="default" w:ascii="Times New Roman" w:hAnsi="Times New Roman" w:eastAsia="宋体" w:cs="Times New Roman"/>
          <w:color w:val="auto"/>
          <w:sz w:val="28"/>
          <w:szCs w:val="28"/>
          <w:highlight w:val="none"/>
        </w:rPr>
        <w:t>29、</w:t>
      </w:r>
      <w:bookmarkEnd w:id="170"/>
      <w:r>
        <w:rPr>
          <w:rFonts w:hint="default" w:ascii="Times New Roman" w:hAnsi="Times New Roman" w:eastAsia="宋体" w:cs="Times New Roman"/>
          <w:color w:val="auto"/>
          <w:sz w:val="28"/>
          <w:szCs w:val="28"/>
          <w:highlight w:val="none"/>
        </w:rPr>
        <w:t>确定</w:t>
      </w:r>
      <w:bookmarkEnd w:id="171"/>
      <w:bookmarkEnd w:id="172"/>
      <w:r>
        <w:rPr>
          <w:rFonts w:hint="default" w:ascii="Times New Roman" w:hAnsi="Times New Roman" w:eastAsia="宋体" w:cs="Times New Roman"/>
          <w:color w:val="auto"/>
          <w:sz w:val="28"/>
          <w:szCs w:val="28"/>
          <w:highlight w:val="none"/>
        </w:rPr>
        <w:t>中标单位</w:t>
      </w:r>
    </w:p>
    <w:p w14:paraId="54C2CDF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29.1评委会根据本招标文件规定评标办法与评标标准向采购人推荐出3名中标候选人。</w:t>
      </w:r>
    </w:p>
    <w:p w14:paraId="64031DE0">
      <w:pPr>
        <w:pStyle w:val="44"/>
        <w:shd w:val="clear" w:color="auto" w:fill="auto"/>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sz w:val="24"/>
          <w:highlight w:val="none"/>
        </w:rPr>
        <w:t>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p>
    <w:bookmarkEnd w:id="158"/>
    <w:p w14:paraId="6C5ABBB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rPr>
      </w:pPr>
      <w:bookmarkStart w:id="173" w:name="EB43722dfdcba04784a2ffc7136a56394d"/>
      <w:bookmarkEnd w:id="173"/>
      <w:r>
        <w:rPr>
          <w:rFonts w:hint="default" w:ascii="Times New Roman" w:hAnsi="Times New Roman" w:eastAsia="宋体" w:cs="Times New Roman"/>
          <w:bCs/>
          <w:color w:val="auto"/>
          <w:sz w:val="24"/>
          <w:szCs w:val="24"/>
          <w:highlight w:val="none"/>
        </w:rPr>
        <w:t>29.3</w:t>
      </w:r>
      <w:r>
        <w:rPr>
          <w:rFonts w:hint="default" w:ascii="Times New Roman" w:hAnsi="Times New Roman" w:eastAsia="宋体" w:cs="Times New Roman"/>
          <w:color w:val="auto"/>
          <w:kern w:val="0"/>
          <w:sz w:val="24"/>
          <w:szCs w:val="24"/>
          <w:highlight w:val="none"/>
        </w:rPr>
        <w:t>自中标人确定之日起2个工作日内，中标结果将在省级以上财政部门指定的媒体上进行公告，公告期限为1个工作日。</w:t>
      </w:r>
    </w:p>
    <w:p w14:paraId="2B18F47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29.4若有充分证据证明，中标人出现下列情况之一的，一经查实，中标无效：</w:t>
      </w:r>
    </w:p>
    <w:p w14:paraId="48FE04B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（1）提供虚假材料谋取中标的；</w:t>
      </w:r>
    </w:p>
    <w:p w14:paraId="2EDE7B2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（2）采取不正当手段诋毁、排挤其他供应商的；</w:t>
      </w:r>
    </w:p>
    <w:p w14:paraId="7D3D229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（3）与采购人、其他供应商或者采购代理机构恶意串通的；</w:t>
      </w:r>
    </w:p>
    <w:p w14:paraId="61F3BA9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（4）向采购人、采购代理机构行贿或者提供其他不正当利益的；</w:t>
      </w:r>
    </w:p>
    <w:p w14:paraId="1BB63D9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（5）在招标采购过程中与采购人进行协商谈判的；</w:t>
      </w:r>
    </w:p>
    <w:p w14:paraId="102DF7E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（6）向评标委员会行贿或者提供其他不正当利益。</w:t>
      </w:r>
    </w:p>
    <w:p w14:paraId="6C6EA2B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30、询问和质疑</w:t>
      </w:r>
    </w:p>
    <w:p w14:paraId="230494F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30.1询问形式</w:t>
      </w:r>
    </w:p>
    <w:p w14:paraId="598C257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30.1.1供应商对政府采购活动事项有疑问的，可以</w:t>
      </w:r>
      <w:r>
        <w:rPr>
          <w:rFonts w:hint="default" w:ascii="Times New Roman" w:hAnsi="Times New Roman" w:eastAsia="宋体" w:cs="Times New Roman"/>
          <w:color w:val="auto"/>
          <w:sz w:val="24"/>
          <w:highlight w:val="none"/>
        </w:rPr>
        <w:t>联系采购人或</w:t>
      </w:r>
      <w:r>
        <w:rPr>
          <w:rFonts w:hint="default" w:ascii="Times New Roman" w:hAnsi="Times New Roman" w:eastAsia="宋体" w:cs="Times New Roman"/>
          <w:color w:val="auto"/>
          <w:sz w:val="24"/>
          <w:highlight w:val="none"/>
          <w:lang w:val="en-US" w:eastAsia="zh-CN"/>
        </w:rPr>
        <w:t>苏州康新恩招投标</w:t>
      </w:r>
      <w:r>
        <w:rPr>
          <w:rFonts w:hint="default" w:ascii="Times New Roman" w:hAnsi="Times New Roman" w:eastAsia="宋体" w:cs="Times New Roman"/>
          <w:color w:val="auto"/>
          <w:sz w:val="24"/>
          <w:highlight w:val="none"/>
        </w:rPr>
        <w:t>有限公司</w:t>
      </w:r>
      <w:r>
        <w:rPr>
          <w:rFonts w:hint="default" w:ascii="Times New Roman" w:hAnsi="Times New Roman" w:eastAsia="宋体" w:cs="Times New Roman"/>
          <w:color w:val="auto"/>
          <w:kern w:val="0"/>
          <w:sz w:val="24"/>
          <w:highlight w:val="none"/>
        </w:rPr>
        <w:t>。</w:t>
      </w:r>
    </w:p>
    <w:p w14:paraId="01CBF51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kern w:val="0"/>
          <w:sz w:val="24"/>
          <w:highlight w:val="none"/>
        </w:rPr>
        <w:t>30.1.2采购人或</w:t>
      </w:r>
      <w:bookmarkStart w:id="174" w:name="EB1e3348b3d3f944839c20c949c3a379bc"/>
      <w:r>
        <w:rPr>
          <w:rFonts w:hint="default" w:ascii="Times New Roman" w:hAnsi="Times New Roman" w:eastAsia="宋体" w:cs="Times New Roman"/>
          <w:color w:val="auto"/>
          <w:kern w:val="0"/>
          <w:sz w:val="24"/>
          <w:highlight w:val="none"/>
        </w:rPr>
        <w:t>苏州康新恩招投标有限公司</w:t>
      </w:r>
      <w:bookmarkEnd w:id="174"/>
      <w:r>
        <w:rPr>
          <w:rFonts w:hint="default" w:ascii="Times New Roman" w:hAnsi="Times New Roman" w:eastAsia="宋体" w:cs="Times New Roman"/>
          <w:color w:val="auto"/>
          <w:kern w:val="0"/>
          <w:sz w:val="24"/>
          <w:highlight w:val="none"/>
        </w:rPr>
        <w:t>将在3个工作日内作出答复，答复的内容不涉及商业秘密。</w:t>
      </w:r>
    </w:p>
    <w:p w14:paraId="2CEDB36D">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30</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质疑形式</w:t>
      </w:r>
    </w:p>
    <w:p w14:paraId="5C95A4AD">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30.2.1供应商认为采购文件、采购过程和采购结果使自己的</w:t>
      </w:r>
      <w:r>
        <w:rPr>
          <w:rFonts w:hint="eastAsia" w:ascii="Times New Roman" w:hAnsi="Times New Roman" w:cs="Times New Roman"/>
          <w:color w:val="auto"/>
          <w:kern w:val="0"/>
          <w:sz w:val="24"/>
          <w:szCs w:val="24"/>
          <w:highlight w:val="none"/>
          <w:lang w:val="en-US" w:eastAsia="zh-CN"/>
        </w:rPr>
        <w:t>合法</w:t>
      </w:r>
      <w:r>
        <w:rPr>
          <w:rFonts w:hint="default" w:ascii="Times New Roman" w:hAnsi="Times New Roman" w:eastAsia="宋体" w:cs="Times New Roman"/>
          <w:color w:val="auto"/>
          <w:kern w:val="0"/>
          <w:sz w:val="24"/>
          <w:szCs w:val="24"/>
          <w:highlight w:val="none"/>
        </w:rPr>
        <w:t>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default" w:ascii="Times New Roman" w:hAnsi="Times New Roman" w:eastAsia="宋体" w:cs="Times New Roman"/>
          <w:color w:val="auto"/>
          <w:kern w:val="0"/>
          <w:sz w:val="24"/>
          <w:szCs w:val="24"/>
          <w:highlight w:val="none"/>
          <w:lang w:eastAsia="zh-CN"/>
        </w:rPr>
        <w:t>苏州康新恩招投标有限公司</w:t>
      </w:r>
      <w:r>
        <w:rPr>
          <w:rFonts w:hint="default" w:ascii="Times New Roman" w:hAnsi="Times New Roman" w:eastAsia="宋体" w:cs="Times New Roman"/>
          <w:color w:val="auto"/>
          <w:kern w:val="0"/>
          <w:sz w:val="24"/>
          <w:szCs w:val="24"/>
          <w:highlight w:val="none"/>
        </w:rPr>
        <w:t>提出）。非书面形式、七个工作日之外提交的质疑将不予受理。</w:t>
      </w:r>
    </w:p>
    <w:p w14:paraId="0ABB4487">
      <w:pPr>
        <w:kinsoku/>
        <w:wordWrap/>
        <w:overflowPunct/>
        <w:topLinePunct w:val="0"/>
        <w:autoSpaceDE/>
        <w:autoSpaceDN/>
        <w:bidi w:val="0"/>
        <w:spacing w:line="300" w:lineRule="auto"/>
        <w:ind w:firstLine="480"/>
        <w:rPr>
          <w:rFonts w:hint="eastAsia"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30.2.2质疑必须按《政府采购法》、《政府采购法实施条例》及财政部94号令的相关规定提交，未按上述要求提交的质疑函</w:t>
      </w:r>
      <w:r>
        <w:rPr>
          <w:rFonts w:hint="default" w:ascii="Times New Roman" w:hAnsi="Times New Roman" w:eastAsia="宋体" w:cs="Times New Roman"/>
          <w:color w:val="auto"/>
          <w:kern w:val="0"/>
          <w:sz w:val="24"/>
          <w:szCs w:val="24"/>
          <w:highlight w:val="none"/>
          <w:lang w:eastAsia="zh-CN"/>
        </w:rPr>
        <w:t>苏州康新恩招投标有限公司</w:t>
      </w:r>
      <w:r>
        <w:rPr>
          <w:rFonts w:hint="default" w:ascii="Times New Roman" w:hAnsi="Times New Roman" w:eastAsia="宋体" w:cs="Times New Roman"/>
          <w:color w:val="auto"/>
          <w:kern w:val="0"/>
          <w:sz w:val="24"/>
          <w:szCs w:val="24"/>
          <w:highlight w:val="none"/>
        </w:rPr>
        <w:t>有权不予受理</w:t>
      </w:r>
      <w:r>
        <w:rPr>
          <w:rFonts w:hint="eastAsia" w:ascii="Times New Roman" w:hAnsi="Times New Roman" w:cs="Times New Roman"/>
          <w:color w:val="auto"/>
          <w:kern w:val="0"/>
          <w:sz w:val="24"/>
          <w:szCs w:val="24"/>
          <w:highlight w:val="none"/>
          <w:lang w:eastAsia="zh-CN"/>
        </w:rPr>
        <w:t>。</w:t>
      </w:r>
    </w:p>
    <w:p w14:paraId="70B5D272">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30.2.3质疑函应当包括下列内容：</w:t>
      </w:r>
    </w:p>
    <w:p w14:paraId="1BEBBE12">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30.2.3.1供应商的姓名或者名称、地址、邮编、联系人及联系电话；</w:t>
      </w:r>
    </w:p>
    <w:p w14:paraId="6644314A">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30.2.3.2质疑项目的名称、编号；</w:t>
      </w:r>
    </w:p>
    <w:p w14:paraId="25CF7A3B">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30.2.3.3具体、明确的质疑事项和与质疑事项相关的请求；</w:t>
      </w:r>
    </w:p>
    <w:p w14:paraId="5B5E618D">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30.2.3.4事实依据；</w:t>
      </w:r>
    </w:p>
    <w:p w14:paraId="754532F5">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w:t>
      </w:r>
      <w:r>
        <w:rPr>
          <w:rFonts w:hint="eastAsia"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rPr>
        <w:t>3.5必要的法律依据；</w:t>
      </w:r>
    </w:p>
    <w:p w14:paraId="6F3B8504">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30.2.3.6提出质疑的日期。</w:t>
      </w:r>
    </w:p>
    <w:p w14:paraId="617CD6C5">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30.2.4质疑函应当由法定代表人、主要负责人，或者其授权代表签字或者盖章，并加盖公章。匿名提交的质疑将不予受理。</w:t>
      </w:r>
    </w:p>
    <w:p w14:paraId="54D920EF">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30.2.5质疑的送达方式</w:t>
      </w:r>
    </w:p>
    <w:p w14:paraId="0DC70719">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30.2.5.1质疑函应采用邮寄送达或直接送达的方式递交，采用其他方式送达（含传真、电子邮件等）的，</w:t>
      </w:r>
      <w:r>
        <w:rPr>
          <w:rFonts w:hint="default" w:ascii="Times New Roman" w:hAnsi="Times New Roman" w:eastAsia="宋体" w:cs="Times New Roman"/>
          <w:color w:val="auto"/>
          <w:kern w:val="0"/>
          <w:sz w:val="24"/>
          <w:szCs w:val="24"/>
          <w:highlight w:val="none"/>
          <w:lang w:eastAsia="zh-CN"/>
        </w:rPr>
        <w:t>苏州康新恩招投标有限公司</w:t>
      </w:r>
      <w:r>
        <w:rPr>
          <w:rFonts w:hint="default" w:ascii="Times New Roman" w:hAnsi="Times New Roman" w:eastAsia="宋体" w:cs="Times New Roman"/>
          <w:color w:val="auto"/>
          <w:kern w:val="0"/>
          <w:sz w:val="24"/>
          <w:szCs w:val="24"/>
          <w:highlight w:val="none"/>
        </w:rPr>
        <w:t>有权不予受理。</w:t>
      </w:r>
    </w:p>
    <w:p w14:paraId="5229041A">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w:t>
      </w: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特别提示</w:t>
      </w:r>
    </w:p>
    <w:p w14:paraId="6D289769">
      <w:pPr>
        <w:kinsoku/>
        <w:wordWrap/>
        <w:overflowPunct/>
        <w:topLinePunct w:val="0"/>
        <w:autoSpaceDE/>
        <w:autoSpaceDN/>
        <w:bidi w:val="0"/>
        <w:spacing w:line="300" w:lineRule="auto"/>
        <w:ind w:firstLine="48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color w:val="auto"/>
          <w:kern w:val="0"/>
          <w:sz w:val="24"/>
          <w:szCs w:val="24"/>
          <w:highlight w:val="none"/>
        </w:rPr>
        <w:t>30.3.1根据财政部94号令第十一条规定，提出质疑的供应商应当是参与所质疑项目采购活动的供应商。</w:t>
      </w:r>
      <w:r>
        <w:rPr>
          <w:rFonts w:hint="default" w:ascii="Times New Roman" w:hAnsi="Times New Roman" w:eastAsia="宋体" w:cs="Times New Roman"/>
          <w:b/>
          <w:bCs/>
          <w:color w:val="auto"/>
          <w:kern w:val="0"/>
          <w:sz w:val="24"/>
          <w:szCs w:val="24"/>
          <w:highlight w:val="none"/>
        </w:rPr>
        <w:t>因此凡是对招标文件提出质疑的供应商，必须是依法获取招标文件，请将合法获取招标文件的证明材料（即《投标供应商确认函》）与质疑函一起递交，否则不予受理。</w:t>
      </w:r>
    </w:p>
    <w:p w14:paraId="2C2AE4BC">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30.3.2供应商在法定质疑期内应一次性提出针对同一采购程序环节的质疑。</w:t>
      </w:r>
    </w:p>
    <w:p w14:paraId="7D24934D">
      <w:pPr>
        <w:kinsoku/>
        <w:wordWrap/>
        <w:overflowPunct/>
        <w:topLinePunct w:val="0"/>
        <w:autoSpaceDE/>
        <w:autoSpaceDN/>
        <w:bidi w:val="0"/>
        <w:spacing w:line="300" w:lineRule="auto"/>
        <w:ind w:firstLine="513" w:firstLineChars="214"/>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30.3.3供应商提出质疑必须有理、有据，不得恶意质疑或提交虚假质疑。否则，一经查实，采购人或</w:t>
      </w:r>
      <w:r>
        <w:rPr>
          <w:rFonts w:hint="default" w:ascii="Times New Roman" w:hAnsi="Times New Roman" w:eastAsia="宋体" w:cs="Times New Roman"/>
          <w:color w:val="auto"/>
          <w:kern w:val="0"/>
          <w:sz w:val="24"/>
          <w:szCs w:val="24"/>
          <w:highlight w:val="none"/>
          <w:lang w:eastAsia="zh-CN"/>
        </w:rPr>
        <w:t>苏州康新恩招投标有限公司</w:t>
      </w:r>
      <w:r>
        <w:rPr>
          <w:rFonts w:hint="default" w:ascii="Times New Roman" w:hAnsi="Times New Roman" w:eastAsia="宋体" w:cs="Times New Roman"/>
          <w:color w:val="auto"/>
          <w:kern w:val="0"/>
          <w:sz w:val="24"/>
          <w:szCs w:val="24"/>
          <w:highlight w:val="none"/>
        </w:rPr>
        <w:t>有权依据政府采购的有关规定，报请政府采购监管部门对该投标人进行相应的行政处罚。</w:t>
      </w:r>
    </w:p>
    <w:p w14:paraId="26B050A2">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30.</w:t>
      </w: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其他</w:t>
      </w:r>
    </w:p>
    <w:p w14:paraId="08596DA0">
      <w:pPr>
        <w:kinsoku/>
        <w:wordWrap/>
        <w:overflowPunct/>
        <w:topLinePunct w:val="0"/>
        <w:autoSpaceDE/>
        <w:autoSpaceDN/>
        <w:bidi w:val="0"/>
        <w:spacing w:line="300" w:lineRule="auto"/>
        <w:ind w:firstLine="480"/>
        <w:rPr>
          <w:rFonts w:hint="default" w:ascii="Times New Roman" w:hAnsi="Times New Roman" w:eastAsia="宋体" w:cs="Times New Roman"/>
          <w:color w:val="auto"/>
          <w:kern w:val="0"/>
          <w:sz w:val="28"/>
          <w:szCs w:val="28"/>
          <w:highlight w:val="none"/>
        </w:rPr>
      </w:pPr>
      <w:r>
        <w:rPr>
          <w:rFonts w:hint="eastAsia" w:ascii="Times New Roman" w:hAnsi="Times New Roman" w:eastAsia="宋体" w:cs="Times New Roman"/>
          <w:color w:val="auto"/>
          <w:kern w:val="0"/>
          <w:sz w:val="24"/>
          <w:szCs w:val="24"/>
          <w:highlight w:val="none"/>
          <w:lang w:val="en-US" w:eastAsia="zh-CN"/>
        </w:rPr>
        <w:t>30.4</w:t>
      </w:r>
      <w:r>
        <w:rPr>
          <w:rFonts w:hint="default" w:ascii="Times New Roman" w:hAnsi="Times New Roman" w:eastAsia="宋体" w:cs="Times New Roman"/>
          <w:color w:val="auto"/>
          <w:kern w:val="0"/>
          <w:sz w:val="24"/>
          <w:szCs w:val="24"/>
          <w:highlight w:val="none"/>
        </w:rPr>
        <w:t>.1采购人或</w:t>
      </w:r>
      <w:r>
        <w:rPr>
          <w:rFonts w:hint="default" w:ascii="Times New Roman" w:hAnsi="Times New Roman" w:eastAsia="宋体" w:cs="Times New Roman"/>
          <w:color w:val="auto"/>
          <w:kern w:val="0"/>
          <w:sz w:val="24"/>
          <w:szCs w:val="24"/>
          <w:highlight w:val="none"/>
          <w:lang w:eastAsia="zh-CN"/>
        </w:rPr>
        <w:t>苏州康新恩招投标有限公司</w:t>
      </w:r>
      <w:r>
        <w:rPr>
          <w:rFonts w:hint="default" w:ascii="Times New Roman" w:hAnsi="Times New Roman" w:eastAsia="宋体" w:cs="Times New Roman"/>
          <w:color w:val="auto"/>
          <w:kern w:val="0"/>
          <w:sz w:val="24"/>
          <w:szCs w:val="24"/>
          <w:highlight w:val="none"/>
        </w:rPr>
        <w:t>将在收到供应商的质疑后七个工作日内作出答复，答复的内容不涉及商业秘密。</w:t>
      </w:r>
    </w:p>
    <w:p w14:paraId="5066E855">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31、中标通知书</w:t>
      </w:r>
    </w:p>
    <w:p w14:paraId="6E96E09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31.l在中标结果确定后2个工作日内，</w:t>
      </w:r>
      <w:bookmarkStart w:id="175" w:name="EB04864b601f4543e5995458ada06a41df"/>
      <w:r>
        <w:rPr>
          <w:rFonts w:hint="default" w:ascii="Times New Roman" w:hAnsi="Times New Roman" w:eastAsia="宋体" w:cs="Times New Roman"/>
          <w:color w:val="auto"/>
          <w:sz w:val="24"/>
          <w:highlight w:val="none"/>
        </w:rPr>
        <w:t>苏州康新恩招投标有限公司</w:t>
      </w:r>
      <w:bookmarkEnd w:id="175"/>
      <w:r>
        <w:rPr>
          <w:rFonts w:hint="default" w:ascii="Times New Roman" w:hAnsi="Times New Roman" w:eastAsia="宋体" w:cs="Times New Roman"/>
          <w:color w:val="auto"/>
          <w:sz w:val="24"/>
          <w:highlight w:val="none"/>
        </w:rPr>
        <w:t>向中标供应商发出中标通知书。</w:t>
      </w:r>
    </w:p>
    <w:p w14:paraId="017D650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31.2 中标通知书将是合同的一个组成部分。对采购人和中标供应商均具有法律效力。中标通知书发出后，采购人改变中标结果的，或者中标供应商放弃中标项目的，应当依法承担法律责任。</w:t>
      </w:r>
    </w:p>
    <w:p w14:paraId="547EB7AA">
      <w:pPr>
        <w:pStyle w:val="3"/>
        <w:shd w:val="clear" w:color="auto" w:fill="auto"/>
        <w:wordWrap/>
        <w:overflowPunct/>
        <w:topLinePunct w:val="0"/>
        <w:bidi w:val="0"/>
        <w:spacing w:before="0" w:after="0" w:line="300" w:lineRule="auto"/>
        <w:jc w:val="left"/>
        <w:rPr>
          <w:rStyle w:val="33"/>
          <w:rFonts w:hint="default" w:ascii="Times New Roman" w:hAnsi="Times New Roman" w:eastAsia="宋体" w:cs="Times New Roman"/>
          <w:b/>
          <w:bCs w:val="0"/>
          <w:color w:val="auto"/>
          <w:highlight w:val="none"/>
        </w:rPr>
      </w:pPr>
      <w:bookmarkStart w:id="176" w:name="_Toc20823308"/>
      <w:bookmarkStart w:id="177" w:name="_Toc35244874"/>
      <w:bookmarkStart w:id="178" w:name="_Toc120614220"/>
      <w:bookmarkStart w:id="179" w:name="_Toc16938552"/>
      <w:bookmarkStart w:id="180" w:name="_Toc513029236"/>
      <w:bookmarkStart w:id="181" w:name="_Toc54119652"/>
      <w:bookmarkStart w:id="182" w:name="_Toc16189"/>
      <w:r>
        <w:rPr>
          <w:rStyle w:val="33"/>
          <w:rFonts w:hint="default" w:ascii="Times New Roman" w:hAnsi="Times New Roman" w:eastAsia="宋体" w:cs="Times New Roman"/>
          <w:b/>
          <w:bCs w:val="0"/>
          <w:color w:val="auto"/>
          <w:highlight w:val="none"/>
        </w:rPr>
        <w:t>七、授予合同</w:t>
      </w:r>
      <w:bookmarkEnd w:id="176"/>
      <w:bookmarkEnd w:id="177"/>
      <w:bookmarkEnd w:id="178"/>
      <w:bookmarkEnd w:id="179"/>
      <w:bookmarkEnd w:id="180"/>
      <w:bookmarkEnd w:id="181"/>
      <w:bookmarkEnd w:id="182"/>
    </w:p>
    <w:p w14:paraId="79D385E5">
      <w:pPr>
        <w:pStyle w:val="3"/>
        <w:shd w:val="clear" w:color="auto" w:fill="auto"/>
        <w:wordWrap/>
        <w:overflowPunct/>
        <w:topLinePunct w:val="0"/>
        <w:bidi w:val="0"/>
        <w:spacing w:before="0" w:after="0" w:line="300" w:lineRule="auto"/>
        <w:ind w:firstLine="560" w:firstLineChars="200"/>
        <w:jc w:val="left"/>
        <w:rPr>
          <w:rFonts w:hint="default" w:ascii="Times New Roman" w:hAnsi="Times New Roman" w:eastAsia="宋体" w:cs="Times New Roman"/>
          <w:b w:val="0"/>
          <w:bCs/>
          <w:color w:val="auto"/>
          <w:sz w:val="28"/>
          <w:szCs w:val="28"/>
          <w:highlight w:val="none"/>
        </w:rPr>
      </w:pPr>
      <w:bookmarkStart w:id="183" w:name="_Toc5486"/>
      <w:r>
        <w:rPr>
          <w:rFonts w:hint="default" w:ascii="Times New Roman" w:hAnsi="Times New Roman" w:eastAsia="宋体" w:cs="Times New Roman"/>
          <w:b w:val="0"/>
          <w:bCs/>
          <w:color w:val="auto"/>
          <w:sz w:val="28"/>
          <w:szCs w:val="28"/>
          <w:highlight w:val="none"/>
        </w:rPr>
        <w:t>32、 签订合同</w:t>
      </w:r>
      <w:bookmarkEnd w:id="183"/>
    </w:p>
    <w:p w14:paraId="12B73968">
      <w:pPr>
        <w:pStyle w:val="3"/>
        <w:shd w:val="clear" w:color="auto" w:fill="auto"/>
        <w:wordWrap/>
        <w:overflowPunct/>
        <w:topLinePunct w:val="0"/>
        <w:bidi w:val="0"/>
        <w:spacing w:before="0" w:after="0" w:line="300" w:lineRule="auto"/>
        <w:ind w:firstLine="480" w:firstLineChars="200"/>
        <w:jc w:val="left"/>
        <w:rPr>
          <w:rFonts w:hint="default" w:ascii="Times New Roman" w:hAnsi="Times New Roman" w:eastAsia="宋体" w:cs="Times New Roman"/>
          <w:b w:val="0"/>
          <w:bCs/>
          <w:color w:val="auto"/>
          <w:sz w:val="24"/>
          <w:szCs w:val="24"/>
          <w:highlight w:val="none"/>
        </w:rPr>
      </w:pPr>
      <w:bookmarkStart w:id="184" w:name="_Toc26635"/>
      <w:r>
        <w:rPr>
          <w:rFonts w:hint="default" w:ascii="Times New Roman" w:hAnsi="Times New Roman" w:eastAsia="宋体" w:cs="Times New Roman"/>
          <w:b w:val="0"/>
          <w:bCs/>
          <w:color w:val="auto"/>
          <w:sz w:val="24"/>
          <w:szCs w:val="24"/>
          <w:highlight w:val="none"/>
        </w:rPr>
        <w:t>32.l中标人应按中标通知书规定的时间、地点,按照招标文件确定的事项与采购人签订政府采购合同，且原则上不得迟于中标通知书发出之日起十五日，否则给采购人造成损失的，中标人应承担赔偿责任。</w:t>
      </w:r>
      <w:bookmarkEnd w:id="184"/>
    </w:p>
    <w:p w14:paraId="6A50D8A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color w:val="auto"/>
          <w:sz w:val="24"/>
          <w:szCs w:val="24"/>
          <w:highlight w:val="none"/>
        </w:rPr>
        <w:t>招标文件、中标人的投标文件及招标过程中有关澄清、承诺文件均应作为合同附件。</w:t>
      </w:r>
    </w:p>
    <w:p w14:paraId="394F7D0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32.3 签订合同后，中标人不得将货物及其他相关服务进行转包和分包。</w:t>
      </w:r>
    </w:p>
    <w:p w14:paraId="01699681">
      <w:pPr>
        <w:keepNext/>
        <w:keepLines/>
        <w:shd w:val="clear" w:color="auto" w:fill="auto"/>
        <w:wordWrap/>
        <w:topLinePunct w:val="0"/>
        <w:bidi w:val="0"/>
        <w:spacing w:line="300" w:lineRule="auto"/>
        <w:ind w:firstLine="560"/>
        <w:outlineLvl w:val="3"/>
        <w:rPr>
          <w:rFonts w:hint="default" w:ascii="Times New Roman" w:hAnsi="Times New Roman" w:eastAsia="宋体" w:cs="Times New Roman"/>
          <w:bCs/>
          <w:color w:val="auto"/>
          <w:kern w:val="0"/>
          <w:sz w:val="28"/>
          <w:szCs w:val="28"/>
          <w:highlight w:val="none"/>
        </w:rPr>
      </w:pPr>
      <w:bookmarkStart w:id="185" w:name="EB409bbfb5dd6145f8be6d71e7b5c813ea"/>
      <w:bookmarkEnd w:id="185"/>
      <w:bookmarkStart w:id="186" w:name="_Toc35244875"/>
      <w:bookmarkStart w:id="187" w:name="_Toc54119653"/>
      <w:r>
        <w:rPr>
          <w:rFonts w:hint="default" w:ascii="Times New Roman" w:hAnsi="Times New Roman" w:eastAsia="宋体" w:cs="Times New Roman"/>
          <w:bCs/>
          <w:color w:val="auto"/>
          <w:kern w:val="0"/>
          <w:sz w:val="28"/>
          <w:szCs w:val="28"/>
          <w:highlight w:val="none"/>
        </w:rPr>
        <w:t>33、履约保证金</w:t>
      </w:r>
    </w:p>
    <w:p w14:paraId="69DD3CBE">
      <w:pPr>
        <w:pStyle w:val="45"/>
        <w:shd w:val="clear" w:color="auto" w:fill="auto"/>
        <w:wordWrap/>
        <w:topLinePunct w:val="0"/>
        <w:bidi w:val="0"/>
        <w:spacing w:line="300" w:lineRule="auto"/>
        <w:ind w:firstLine="500"/>
        <w:jc w:val="left"/>
        <w:outlineLvl w:val="9"/>
        <w:rPr>
          <w:rStyle w:val="46"/>
          <w:rFonts w:hint="default" w:ascii="Times New Roman" w:hAnsi="Times New Roman" w:eastAsia="宋体" w:cs="Times New Roman"/>
          <w:b w:val="0"/>
          <w:color w:val="auto"/>
          <w:spacing w:val="7"/>
          <w:sz w:val="24"/>
          <w:highlight w:val="none"/>
        </w:rPr>
      </w:pPr>
      <w:r>
        <w:rPr>
          <w:rStyle w:val="46"/>
          <w:rFonts w:hint="default" w:ascii="Times New Roman" w:hAnsi="Times New Roman" w:eastAsia="宋体" w:cs="Times New Roman"/>
          <w:b w:val="0"/>
          <w:color w:val="auto"/>
          <w:spacing w:val="7"/>
          <w:kern w:val="0"/>
          <w:sz w:val="24"/>
          <w:highlight w:val="none"/>
        </w:rPr>
        <w:t>33.1 合同签订前，中标人向采购单位交付的履约保证金为合同总价款 2％。</w:t>
      </w:r>
    </w:p>
    <w:p w14:paraId="74F2347F">
      <w:pPr>
        <w:shd w:val="clear" w:color="auto" w:fill="auto"/>
        <w:wordWrap/>
        <w:topLinePunct w:val="0"/>
        <w:bidi w:val="0"/>
        <w:spacing w:line="300" w:lineRule="auto"/>
        <w:ind w:firstLine="480"/>
        <w:rPr>
          <w:rFonts w:hint="default" w:ascii="Times New Roman" w:hAnsi="Times New Roman" w:eastAsia="宋体" w:cs="Times New Roman"/>
          <w:color w:val="auto"/>
          <w:kern w:val="0"/>
          <w:sz w:val="24"/>
          <w:szCs w:val="24"/>
          <w:highlight w:val="none"/>
        </w:rPr>
      </w:pPr>
      <w:bookmarkStart w:id="188" w:name="EB58366393eaa64bfbb73b2f80be1295bc"/>
      <w:bookmarkEnd w:id="188"/>
      <w:r>
        <w:rPr>
          <w:rFonts w:hint="default" w:ascii="Times New Roman" w:hAnsi="Times New Roman" w:eastAsia="宋体" w:cs="Times New Roman"/>
          <w:color w:val="auto"/>
          <w:kern w:val="0"/>
          <w:sz w:val="24"/>
          <w:szCs w:val="24"/>
          <w:highlight w:val="none"/>
        </w:rPr>
        <w:t>33.2 履约保证金必须是人民币。</w:t>
      </w:r>
      <w:r>
        <w:rPr>
          <w:rFonts w:hint="default" w:ascii="Times New Roman" w:hAnsi="Times New Roman" w:eastAsia="宋体" w:cs="Times New Roman"/>
          <w:color w:val="auto"/>
          <w:kern w:val="0"/>
          <w:sz w:val="24"/>
          <w:highlight w:val="none"/>
        </w:rPr>
        <w:t>履约保证金应当以支票、汇票、本票或者金融机构、担保机构出具的保函等非现金形式提交。</w:t>
      </w:r>
    </w:p>
    <w:p w14:paraId="29AFA7E6">
      <w:pPr>
        <w:keepNext/>
        <w:keepLines/>
        <w:shd w:val="clear" w:color="auto" w:fill="auto"/>
        <w:wordWrap/>
        <w:topLinePunct w:val="0"/>
        <w:bidi w:val="0"/>
        <w:spacing w:line="300" w:lineRule="auto"/>
        <w:ind w:firstLine="560"/>
        <w:outlineLvl w:val="3"/>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Cs/>
          <w:color w:val="auto"/>
          <w:kern w:val="0"/>
          <w:sz w:val="28"/>
          <w:szCs w:val="28"/>
          <w:highlight w:val="none"/>
        </w:rPr>
        <w:t>34、货物和服务的追加、减少和添购</w:t>
      </w:r>
    </w:p>
    <w:p w14:paraId="164A0969">
      <w:pPr>
        <w:shd w:val="clear" w:color="auto" w:fill="auto"/>
        <w:wordWrap/>
        <w:topLinePunct w:val="0"/>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34.1政府采购合同履行中，采购人需追加与合同标的相同的货物和服务的，在不改变合同其他条款的前提下，可以与中标人协商签订补充合同，但所有补充合同的采购金额不超过原合同金额10%。</w:t>
      </w:r>
    </w:p>
    <w:p w14:paraId="7D4911AF">
      <w:pPr>
        <w:shd w:val="clear" w:color="auto" w:fill="auto"/>
        <w:wordWrap/>
        <w:topLinePunct w:val="0"/>
        <w:bidi w:val="0"/>
        <w:spacing w:line="300" w:lineRule="auto"/>
        <w:ind w:firstLine="48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34.2采购结束后，采购人若由于各种客观原因，必须对采购项目所牵涉的货物和服务进行适当的减少时，在双方协商一致的前提下，可以按照招标采购时的价格水平做相应的调减，并据此签订补充合同。</w:t>
      </w:r>
    </w:p>
    <w:p w14:paraId="082CA70E">
      <w:pPr>
        <w:shd w:val="clear" w:color="auto" w:fill="auto"/>
        <w:wordWrap/>
        <w:topLinePunct w:val="0"/>
        <w:bidi w:val="0"/>
        <w:spacing w:line="300" w:lineRule="auto"/>
        <w:ind w:firstLine="560"/>
        <w:rPr>
          <w:rFonts w:hint="default" w:ascii="Times New Roman" w:hAnsi="Times New Roman" w:eastAsia="宋体" w:cs="Times New Roman"/>
          <w:bCs/>
          <w:color w:val="auto"/>
          <w:kern w:val="0"/>
          <w:sz w:val="28"/>
          <w:szCs w:val="28"/>
          <w:highlight w:val="none"/>
        </w:rPr>
      </w:pPr>
      <w:r>
        <w:rPr>
          <w:rFonts w:hint="default" w:ascii="Times New Roman" w:hAnsi="Times New Roman" w:eastAsia="宋体" w:cs="Times New Roman"/>
          <w:bCs/>
          <w:color w:val="auto"/>
          <w:kern w:val="0"/>
          <w:sz w:val="28"/>
          <w:szCs w:val="28"/>
          <w:highlight w:val="none"/>
        </w:rPr>
        <w:t>35、监督和公证</w:t>
      </w:r>
    </w:p>
    <w:p w14:paraId="04A02832">
      <w:pPr>
        <w:shd w:val="clear" w:color="auto" w:fill="auto"/>
        <w:wordWrap/>
        <w:topLinePunct w:val="0"/>
        <w:bidi w:val="0"/>
        <w:spacing w:line="300" w:lineRule="auto"/>
        <w:ind w:firstLine="48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35.1政府有关监督部门将对投标全过程进行监督。</w:t>
      </w:r>
    </w:p>
    <w:p w14:paraId="40EA7D39">
      <w:pPr>
        <w:pStyle w:val="18"/>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89" w:name="_Toc20443"/>
      <w:r>
        <w:rPr>
          <w:rFonts w:hint="default" w:ascii="Times New Roman" w:hAnsi="Times New Roman" w:eastAsia="宋体" w:cs="Times New Roman"/>
          <w:color w:val="auto"/>
          <w:highlight w:val="none"/>
        </w:rPr>
        <w:t>第三章  合同条款及</w:t>
      </w:r>
      <w:bookmarkEnd w:id="29"/>
      <w:bookmarkEnd w:id="30"/>
      <w:bookmarkEnd w:id="31"/>
      <w:bookmarkEnd w:id="32"/>
      <w:bookmarkEnd w:id="33"/>
      <w:r>
        <w:rPr>
          <w:rFonts w:hint="default" w:ascii="Times New Roman" w:hAnsi="Times New Roman" w:eastAsia="宋体" w:cs="Times New Roman"/>
          <w:color w:val="auto"/>
          <w:highlight w:val="none"/>
        </w:rPr>
        <w:t>格式</w:t>
      </w:r>
      <w:bookmarkEnd w:id="186"/>
      <w:bookmarkEnd w:id="187"/>
      <w:bookmarkEnd w:id="189"/>
    </w:p>
    <w:p w14:paraId="6BF14CF3">
      <w:pPr>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90" w:name="EB0c436cda110d4e31977602d633a36593"/>
    </w:p>
    <w:bookmarkEnd w:id="190"/>
    <w:p w14:paraId="5F6F9397">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rPr>
      </w:pPr>
      <w:bookmarkStart w:id="191" w:name="_Toc120614244"/>
      <w:bookmarkStart w:id="192" w:name="_Toc16938590"/>
      <w:bookmarkStart w:id="193" w:name="_Toc20823346"/>
      <w:bookmarkStart w:id="194" w:name="_Hlt16619350"/>
      <w:bookmarkStart w:id="195" w:name="_Toc35244876"/>
      <w:bookmarkStart w:id="196" w:name="_Toc54119654"/>
      <w:bookmarkStart w:id="197" w:name="_Toc462564139"/>
      <w:bookmarkStart w:id="198" w:name="_Toc479757211"/>
      <w:r>
        <w:rPr>
          <w:rFonts w:hint="default" w:ascii="Times New Roman" w:hAnsi="Times New Roman" w:eastAsia="宋体" w:cs="Times New Roman"/>
          <w:bCs/>
          <w:color w:val="auto"/>
          <w:sz w:val="24"/>
          <w:szCs w:val="24"/>
          <w:highlight w:val="none"/>
        </w:rPr>
        <w:t>以下为中标(成交)后签定本项目合同的通用条款，中标(成交)供应商不得提出实质性的修改。</w:t>
      </w:r>
    </w:p>
    <w:p w14:paraId="62E346D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643" w:firstLineChars="200"/>
        <w:jc w:val="center"/>
        <w:textAlignment w:val="auto"/>
        <w:outlineLvl w:val="0"/>
        <w:rPr>
          <w:rFonts w:hint="default" w:ascii="Times New Roman" w:hAnsi="Times New Roman" w:eastAsia="宋体" w:cs="Times New Roman"/>
          <w:b/>
          <w:bCs/>
          <w:color w:val="auto"/>
          <w:sz w:val="32"/>
          <w:szCs w:val="32"/>
          <w:highlight w:val="none"/>
        </w:rPr>
      </w:pPr>
      <w:bookmarkStart w:id="199" w:name="_Toc7145"/>
      <w:r>
        <w:rPr>
          <w:rFonts w:hint="default" w:ascii="Times New Roman" w:hAnsi="Times New Roman" w:eastAsia="宋体" w:cs="Times New Roman"/>
          <w:b/>
          <w:bCs/>
          <w:color w:val="auto"/>
          <w:sz w:val="32"/>
          <w:szCs w:val="32"/>
          <w:highlight w:val="none"/>
        </w:rPr>
        <w:t>采购合同</w:t>
      </w:r>
      <w:bookmarkEnd w:id="199"/>
    </w:p>
    <w:p w14:paraId="714612E0">
      <w:pPr>
        <w:pStyle w:val="10"/>
        <w:keepNext w:val="0"/>
        <w:keepLines w:val="0"/>
        <w:pageBreakBefore w:val="0"/>
        <w:widowControl w:val="0"/>
        <w:kinsoku/>
        <w:wordWrap/>
        <w:overflowPunct/>
        <w:topLinePunct w:val="0"/>
        <w:autoSpaceDE/>
        <w:autoSpaceDN/>
        <w:bidi w:val="0"/>
        <w:adjustRightInd/>
        <w:spacing w:after="0" w:line="360" w:lineRule="auto"/>
        <w:ind w:left="0" w:leftChars="0" w:right="0" w:rightChars="0" w:firstLine="480" w:firstLineChars="200"/>
        <w:jc w:val="left"/>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 xml:space="preserve">项目名称：检验/输血管理系统更新项目      </w:t>
      </w:r>
    </w:p>
    <w:p w14:paraId="058931BA">
      <w:pPr>
        <w:pStyle w:val="10"/>
        <w:keepNext w:val="0"/>
        <w:keepLines w:val="0"/>
        <w:pageBreakBefore w:val="0"/>
        <w:widowControl w:val="0"/>
        <w:kinsoku/>
        <w:wordWrap/>
        <w:overflowPunct/>
        <w:topLinePunct w:val="0"/>
        <w:autoSpaceDE/>
        <w:autoSpaceDN/>
        <w:bidi w:val="0"/>
        <w:adjustRightInd/>
        <w:spacing w:after="0" w:line="360" w:lineRule="auto"/>
        <w:ind w:left="0" w:leftChars="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项目编号：</w:t>
      </w:r>
      <w:r>
        <w:rPr>
          <w:rFonts w:hint="eastAsia" w:cs="Times New Roman"/>
          <w:color w:val="auto"/>
          <w:kern w:val="2"/>
          <w:sz w:val="24"/>
          <w:szCs w:val="24"/>
          <w:highlight w:val="none"/>
          <w:lang w:val="en-US" w:eastAsia="zh-CN" w:bidi="ar-SA"/>
        </w:rPr>
        <w:t>JSZC-320582-SKSK-G2025-0013</w:t>
      </w:r>
    </w:p>
    <w:p w14:paraId="5F67B1F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甲方（买方）：张家港市第一人民医院</w:t>
      </w:r>
    </w:p>
    <w:p w14:paraId="4823971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乙方（卖方）：</w:t>
      </w:r>
      <w:r>
        <w:rPr>
          <w:rFonts w:hint="default" w:ascii="Times New Roman" w:hAnsi="Times New Roman" w:eastAsia="宋体" w:cs="Times New Roman"/>
          <w:color w:val="auto"/>
          <w:sz w:val="24"/>
          <w:szCs w:val="24"/>
          <w:highlight w:val="none"/>
          <w:u w:val="single"/>
          <w:lang w:val="en-US" w:eastAsia="zh-CN"/>
        </w:rPr>
        <w:t xml:space="preserve">                    </w:t>
      </w:r>
    </w:p>
    <w:p w14:paraId="4A057F9D">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乙双方根据</w:t>
      </w:r>
      <w:r>
        <w:rPr>
          <w:rFonts w:hint="default" w:ascii="Times New Roman" w:hAnsi="Times New Roman" w:eastAsia="宋体" w:cs="Times New Roman"/>
          <w:color w:val="auto"/>
          <w:sz w:val="24"/>
          <w:szCs w:val="24"/>
          <w:highlight w:val="none"/>
          <w:u w:val="none"/>
          <w:lang w:val="en-US" w:eastAsia="zh-CN"/>
        </w:rPr>
        <w:t>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项目公开招标</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的结果，就甲方采购签署本合同。</w:t>
      </w:r>
    </w:p>
    <w:p w14:paraId="1A38614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w:t>
      </w:r>
      <w:r>
        <w:rPr>
          <w:rFonts w:hint="eastAsia" w:ascii="Times New Roman" w:hAnsi="Times New Roman" w:eastAsia="宋体" w:cs="Times New Roman"/>
          <w:b/>
          <w:bCs/>
          <w:color w:val="auto"/>
          <w:sz w:val="24"/>
          <w:szCs w:val="24"/>
          <w:highlight w:val="none"/>
          <w:lang w:val="en-US" w:eastAsia="zh-CN"/>
        </w:rPr>
        <w:t>合同</w:t>
      </w:r>
      <w:r>
        <w:rPr>
          <w:rFonts w:hint="default" w:ascii="Times New Roman" w:hAnsi="Times New Roman" w:eastAsia="宋体" w:cs="Times New Roman"/>
          <w:b/>
          <w:bCs/>
          <w:color w:val="auto"/>
          <w:sz w:val="24"/>
          <w:szCs w:val="24"/>
          <w:highlight w:val="none"/>
        </w:rPr>
        <w:t>内容</w:t>
      </w:r>
    </w:p>
    <w:tbl>
      <w:tblPr>
        <w:tblStyle w:val="19"/>
        <w:tblW w:w="979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37"/>
        <w:gridCol w:w="1055"/>
        <w:gridCol w:w="934"/>
        <w:gridCol w:w="975"/>
        <w:gridCol w:w="811"/>
        <w:gridCol w:w="1458"/>
        <w:gridCol w:w="1119"/>
        <w:gridCol w:w="893"/>
        <w:gridCol w:w="1112"/>
      </w:tblGrid>
      <w:tr w14:paraId="0D8C8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07" w:hRule="atLeast"/>
        </w:trPr>
        <w:tc>
          <w:tcPr>
            <w:tcW w:w="1437" w:type="dxa"/>
            <w:tcBorders>
              <w:top w:val="single" w:color="auto" w:sz="4" w:space="0"/>
              <w:left w:val="single" w:color="auto" w:sz="4" w:space="0"/>
              <w:bottom w:val="single" w:color="auto" w:sz="4" w:space="0"/>
              <w:right w:val="single" w:color="auto" w:sz="4" w:space="0"/>
            </w:tcBorders>
            <w:vAlign w:val="center"/>
          </w:tcPr>
          <w:p w14:paraId="5656FC7C">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bookmarkStart w:id="200" w:name="itemname"/>
            <w:bookmarkEnd w:id="200"/>
            <w:r>
              <w:rPr>
                <w:rFonts w:hint="default" w:ascii="Times New Roman" w:hAnsi="Times New Roman" w:eastAsia="宋体" w:cs="Times New Roman"/>
                <w:color w:val="auto"/>
                <w:sz w:val="24"/>
                <w:szCs w:val="24"/>
                <w:highlight w:val="none"/>
              </w:rPr>
              <w:t>货物名称</w:t>
            </w:r>
          </w:p>
        </w:tc>
        <w:tc>
          <w:tcPr>
            <w:tcW w:w="1055" w:type="dxa"/>
            <w:tcBorders>
              <w:top w:val="single" w:color="auto" w:sz="4" w:space="0"/>
              <w:left w:val="single" w:color="auto" w:sz="4" w:space="0"/>
              <w:bottom w:val="single" w:color="auto" w:sz="4" w:space="0"/>
              <w:right w:val="single" w:color="auto" w:sz="4" w:space="0"/>
            </w:tcBorders>
            <w:vAlign w:val="center"/>
          </w:tcPr>
          <w:p w14:paraId="135A40FB">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品牌</w:t>
            </w:r>
          </w:p>
        </w:tc>
        <w:tc>
          <w:tcPr>
            <w:tcW w:w="934" w:type="dxa"/>
            <w:tcBorders>
              <w:top w:val="single" w:color="auto" w:sz="4" w:space="0"/>
              <w:left w:val="single" w:color="auto" w:sz="4" w:space="0"/>
              <w:bottom w:val="single" w:color="auto" w:sz="4" w:space="0"/>
              <w:right w:val="single" w:color="auto" w:sz="4" w:space="0"/>
            </w:tcBorders>
            <w:vAlign w:val="center"/>
          </w:tcPr>
          <w:p w14:paraId="163AB72C">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型号</w:t>
            </w:r>
          </w:p>
        </w:tc>
        <w:tc>
          <w:tcPr>
            <w:tcW w:w="975" w:type="dxa"/>
            <w:tcBorders>
              <w:top w:val="single" w:color="auto" w:sz="4" w:space="0"/>
              <w:left w:val="single" w:color="auto" w:sz="4" w:space="0"/>
              <w:bottom w:val="single" w:color="auto" w:sz="4" w:space="0"/>
              <w:right w:val="single" w:color="auto" w:sz="4" w:space="0"/>
            </w:tcBorders>
            <w:vAlign w:val="center"/>
          </w:tcPr>
          <w:p w14:paraId="6742EE55">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811" w:type="dxa"/>
            <w:tcBorders>
              <w:top w:val="single" w:color="auto" w:sz="4" w:space="0"/>
              <w:left w:val="single" w:color="auto" w:sz="4" w:space="0"/>
              <w:bottom w:val="single" w:color="auto" w:sz="4" w:space="0"/>
              <w:right w:val="single" w:color="auto" w:sz="4" w:space="0"/>
            </w:tcBorders>
            <w:vAlign w:val="center"/>
          </w:tcPr>
          <w:p w14:paraId="1041276F">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w:t>
            </w:r>
          </w:p>
        </w:tc>
        <w:tc>
          <w:tcPr>
            <w:tcW w:w="1458" w:type="dxa"/>
            <w:tcBorders>
              <w:top w:val="single" w:color="auto" w:sz="4" w:space="0"/>
              <w:left w:val="single" w:color="auto" w:sz="4" w:space="0"/>
              <w:bottom w:val="single" w:color="auto" w:sz="4" w:space="0"/>
              <w:right w:val="single" w:color="auto" w:sz="4" w:space="0"/>
            </w:tcBorders>
            <w:vAlign w:val="center"/>
          </w:tcPr>
          <w:p w14:paraId="1A39A61A">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制造厂商</w:t>
            </w:r>
          </w:p>
        </w:tc>
        <w:tc>
          <w:tcPr>
            <w:tcW w:w="1119" w:type="dxa"/>
            <w:tcBorders>
              <w:top w:val="single" w:color="auto" w:sz="4" w:space="0"/>
              <w:left w:val="single" w:color="auto" w:sz="4" w:space="0"/>
              <w:bottom w:val="single" w:color="auto" w:sz="4" w:space="0"/>
              <w:right w:val="single" w:color="auto" w:sz="4" w:space="0"/>
            </w:tcBorders>
            <w:vAlign w:val="center"/>
          </w:tcPr>
          <w:p w14:paraId="2C8B3C51">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产地</w:t>
            </w:r>
          </w:p>
        </w:tc>
        <w:tc>
          <w:tcPr>
            <w:tcW w:w="893" w:type="dxa"/>
            <w:tcBorders>
              <w:top w:val="single" w:color="auto" w:sz="4" w:space="0"/>
              <w:left w:val="single" w:color="auto" w:sz="4" w:space="0"/>
              <w:bottom w:val="single" w:color="auto" w:sz="4" w:space="0"/>
              <w:right w:val="single" w:color="auto" w:sz="4" w:space="0"/>
            </w:tcBorders>
            <w:vAlign w:val="center"/>
          </w:tcPr>
          <w:p w14:paraId="4BDB53A4">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单价</w:t>
            </w:r>
          </w:p>
          <w:p w14:paraId="0DAC6EB9">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元</w:t>
            </w:r>
            <w:r>
              <w:rPr>
                <w:rFonts w:hint="default" w:ascii="Times New Roman" w:hAnsi="Times New Roman" w:eastAsia="宋体" w:cs="Times New Roman"/>
                <w:color w:val="auto"/>
                <w:sz w:val="24"/>
                <w:szCs w:val="24"/>
                <w:highlight w:val="none"/>
                <w:lang w:eastAsia="zh-CN"/>
              </w:rPr>
              <w:t>）</w:t>
            </w:r>
          </w:p>
        </w:tc>
        <w:tc>
          <w:tcPr>
            <w:tcW w:w="1112" w:type="dxa"/>
            <w:tcBorders>
              <w:top w:val="single" w:color="auto" w:sz="4" w:space="0"/>
              <w:left w:val="single" w:color="auto" w:sz="4" w:space="0"/>
              <w:bottom w:val="single" w:color="auto" w:sz="4" w:space="0"/>
              <w:right w:val="single" w:color="auto" w:sz="4" w:space="0"/>
            </w:tcBorders>
            <w:vAlign w:val="center"/>
          </w:tcPr>
          <w:p w14:paraId="798FE0A3">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总价</w:t>
            </w:r>
          </w:p>
          <w:p w14:paraId="44913DD0">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（元）</w:t>
            </w:r>
          </w:p>
        </w:tc>
      </w:tr>
      <w:tr w14:paraId="2AD81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02" w:hRule="atLeast"/>
        </w:trPr>
        <w:tc>
          <w:tcPr>
            <w:tcW w:w="1437" w:type="dxa"/>
            <w:tcBorders>
              <w:top w:val="single" w:color="auto" w:sz="4" w:space="0"/>
              <w:left w:val="single" w:color="auto" w:sz="4" w:space="0"/>
              <w:bottom w:val="single" w:color="auto" w:sz="4" w:space="0"/>
              <w:right w:val="single" w:color="auto" w:sz="4" w:space="0"/>
            </w:tcBorders>
            <w:vAlign w:val="center"/>
          </w:tcPr>
          <w:p w14:paraId="29750E50">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3F422A21">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bookmarkStart w:id="201" w:name="zhongbiaopricelow_1"/>
            <w:bookmarkEnd w:id="201"/>
          </w:p>
        </w:tc>
        <w:tc>
          <w:tcPr>
            <w:tcW w:w="934" w:type="dxa"/>
            <w:tcBorders>
              <w:top w:val="single" w:color="auto" w:sz="4" w:space="0"/>
              <w:left w:val="single" w:color="auto" w:sz="4" w:space="0"/>
              <w:bottom w:val="single" w:color="auto" w:sz="4" w:space="0"/>
              <w:right w:val="single" w:color="auto" w:sz="4" w:space="0"/>
            </w:tcBorders>
            <w:vAlign w:val="center"/>
          </w:tcPr>
          <w:p w14:paraId="266CAFD6">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75" w:type="dxa"/>
            <w:tcBorders>
              <w:top w:val="single" w:color="auto" w:sz="4" w:space="0"/>
              <w:left w:val="single" w:color="auto" w:sz="4" w:space="0"/>
              <w:bottom w:val="single" w:color="auto" w:sz="4" w:space="0"/>
              <w:right w:val="single" w:color="auto" w:sz="4" w:space="0"/>
            </w:tcBorders>
            <w:vAlign w:val="center"/>
          </w:tcPr>
          <w:p w14:paraId="01A00C4F">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811" w:type="dxa"/>
            <w:tcBorders>
              <w:top w:val="single" w:color="auto" w:sz="4" w:space="0"/>
              <w:left w:val="single" w:color="auto" w:sz="4" w:space="0"/>
              <w:bottom w:val="single" w:color="auto" w:sz="4" w:space="0"/>
              <w:right w:val="single" w:color="auto" w:sz="4" w:space="0"/>
            </w:tcBorders>
            <w:vAlign w:val="center"/>
          </w:tcPr>
          <w:p w14:paraId="5CA18C33">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tc>
        <w:tc>
          <w:tcPr>
            <w:tcW w:w="1458" w:type="dxa"/>
            <w:tcBorders>
              <w:top w:val="single" w:color="auto" w:sz="4" w:space="0"/>
              <w:left w:val="single" w:color="auto" w:sz="4" w:space="0"/>
              <w:bottom w:val="single" w:color="auto" w:sz="4" w:space="0"/>
              <w:right w:val="single" w:color="auto" w:sz="4" w:space="0"/>
            </w:tcBorders>
            <w:vAlign w:val="center"/>
          </w:tcPr>
          <w:p w14:paraId="670C4773">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19" w:type="dxa"/>
            <w:tcBorders>
              <w:top w:val="single" w:color="auto" w:sz="4" w:space="0"/>
              <w:left w:val="single" w:color="auto" w:sz="4" w:space="0"/>
              <w:bottom w:val="single" w:color="auto" w:sz="4" w:space="0"/>
              <w:right w:val="single" w:color="auto" w:sz="4" w:space="0"/>
            </w:tcBorders>
            <w:vAlign w:val="center"/>
          </w:tcPr>
          <w:p w14:paraId="5B1B46A3">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893" w:type="dxa"/>
            <w:tcBorders>
              <w:top w:val="single" w:color="auto" w:sz="4" w:space="0"/>
              <w:left w:val="single" w:color="auto" w:sz="4" w:space="0"/>
              <w:bottom w:val="single" w:color="auto" w:sz="4" w:space="0"/>
              <w:right w:val="single" w:color="auto" w:sz="4" w:space="0"/>
            </w:tcBorders>
            <w:vAlign w:val="center"/>
          </w:tcPr>
          <w:p w14:paraId="359CE70A">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544BD87A">
            <w:pPr>
              <w:keepNext w:val="0"/>
              <w:keepLines w:val="0"/>
              <w:pageBreakBefore w:val="0"/>
              <w:widowControl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r>
    </w:tbl>
    <w:p w14:paraId="5110021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二、合同金额</w:t>
      </w:r>
    </w:p>
    <w:p w14:paraId="4713EA4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p>
    <w:p w14:paraId="49FDCC3C">
      <w:pPr>
        <w:pStyle w:val="47"/>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安装、调试、</w:t>
      </w:r>
      <w:r>
        <w:rPr>
          <w:rFonts w:hint="default" w:ascii="Times New Roman" w:hAnsi="Times New Roman" w:eastAsia="宋体" w:cs="Times New Roman"/>
          <w:color w:val="auto"/>
          <w:sz w:val="24"/>
          <w:szCs w:val="24"/>
          <w:highlight w:val="none"/>
        </w:rPr>
        <w:t>验收、管理、售后服务、维护、人员培训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接口费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专利技术、质保期间等一切费用及其他费用等所产生的费用。</w:t>
      </w:r>
    </w:p>
    <w:p w14:paraId="3DC3B0E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w:t>
      </w:r>
      <w:r>
        <w:rPr>
          <w:rFonts w:hint="eastAsia" w:ascii="Times New Roman" w:hAnsi="Times New Roman" w:eastAsia="宋体" w:cs="Times New Roman"/>
          <w:b/>
          <w:bCs/>
          <w:color w:val="auto"/>
          <w:sz w:val="24"/>
          <w:szCs w:val="24"/>
          <w:highlight w:val="none"/>
          <w:lang w:val="en-US" w:eastAsia="zh-CN"/>
        </w:rPr>
        <w:t>项目验收</w:t>
      </w:r>
    </w:p>
    <w:p w14:paraId="0D582539">
      <w:pPr>
        <w:keepNext w:val="0"/>
        <w:keepLines w:val="0"/>
        <w:pageBreakBefore w:val="0"/>
        <w:kinsoku/>
        <w:wordWrap/>
        <w:topLinePunct w:val="0"/>
        <w:autoSpaceDE w:val="0"/>
        <w:bidi w:val="0"/>
        <w:adjustRightInd/>
        <w:spacing w:line="360" w:lineRule="auto"/>
        <w:ind w:left="239" w:leftChars="114" w:firstLine="230" w:firstLineChars="96"/>
        <w:rPr>
          <w:rFonts w:ascii="Times New Roman" w:hAnsi="Times New Roman"/>
          <w:bCs/>
          <w:color w:val="auto"/>
          <w:sz w:val="24"/>
          <w:highlight w:val="none"/>
        </w:rPr>
      </w:pPr>
      <w:r>
        <w:rPr>
          <w:rFonts w:ascii="Times New Roman" w:hAnsi="Times New Roman"/>
          <w:color w:val="auto"/>
          <w:sz w:val="24"/>
          <w:highlight w:val="none"/>
        </w:rPr>
        <w:t>自乙方软件安装、调试结束、功能满足合同条款要求且满负荷连续正常试运行</w:t>
      </w:r>
      <w:r>
        <w:rPr>
          <w:rFonts w:hint="eastAsia" w:ascii="Times New Roman" w:hAnsi="Times New Roman"/>
          <w:color w:val="auto"/>
          <w:sz w:val="24"/>
          <w:highlight w:val="none"/>
          <w:u w:val="single"/>
          <w:lang w:val="en-US" w:eastAsia="zh-CN"/>
        </w:rPr>
        <w:t xml:space="preserve">  </w:t>
      </w:r>
      <w:r>
        <w:rPr>
          <w:rFonts w:hint="eastAsia" w:ascii="Times New Roman" w:hAnsi="Times New Roman"/>
          <w:bCs/>
          <w:color w:val="auto"/>
          <w:sz w:val="24"/>
          <w:highlight w:val="none"/>
          <w:u w:val="single"/>
        </w:rPr>
        <w:t>天</w:t>
      </w:r>
      <w:r>
        <w:rPr>
          <w:rFonts w:ascii="Times New Roman" w:hAnsi="Times New Roman"/>
          <w:bCs/>
          <w:color w:val="auto"/>
          <w:sz w:val="24"/>
          <w:highlight w:val="none"/>
        </w:rPr>
        <w:t>后</w:t>
      </w:r>
      <w:r>
        <w:rPr>
          <w:rFonts w:ascii="Times New Roman" w:hAnsi="Times New Roman"/>
          <w:color w:val="auto"/>
          <w:sz w:val="24"/>
          <w:highlight w:val="none"/>
        </w:rPr>
        <w:t>，由乙方书面提出项目验收申请，甲乙双方共同验收。验收合格后，甲方向乙方提供签字确认及盖公章的终验报告《项目验收报告》。如果甲方对系统有任何异议，应在乙方提出项目终验申请之日起7日内以书面形式提出，否则视作默认接受该软件并验收通过。</w:t>
      </w:r>
      <w:r>
        <w:rPr>
          <w:rFonts w:ascii="Times New Roman" w:hAnsi="Times New Roman"/>
          <w:bCs/>
          <w:color w:val="auto"/>
          <w:sz w:val="24"/>
          <w:highlight w:val="none"/>
        </w:rPr>
        <w:t>乙方应提交所提供产品实施、使用和维护涉及的全部技术文件，包括但不限于实施文档、操作手册、维护手册等。</w:t>
      </w:r>
    </w:p>
    <w:p w14:paraId="740BF7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四、</w:t>
      </w:r>
      <w:r>
        <w:rPr>
          <w:rFonts w:ascii="Times New Roman" w:hAnsi="Times New Roman"/>
          <w:b/>
          <w:color w:val="auto"/>
          <w:sz w:val="24"/>
          <w:highlight w:val="none"/>
        </w:rPr>
        <w:t>项目移交、更新及技术培训</w:t>
      </w:r>
    </w:p>
    <w:p w14:paraId="2CCF02C6">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1、甲乙双方书面确认验收合格后</w:t>
      </w:r>
      <w:r>
        <w:rPr>
          <w:rFonts w:hint="eastAsia" w:ascii="Times New Roman" w:hAnsi="Times New Roman"/>
          <w:color w:val="auto"/>
          <w:sz w:val="24"/>
          <w:highlight w:val="none"/>
          <w:u w:val="single"/>
          <w:lang w:val="en-US" w:eastAsia="zh-CN"/>
        </w:rPr>
        <w:t xml:space="preserve">    </w:t>
      </w:r>
      <w:r>
        <w:rPr>
          <w:rFonts w:ascii="Times New Roman" w:hAnsi="Times New Roman"/>
          <w:bCs/>
          <w:color w:val="auto"/>
          <w:sz w:val="24"/>
          <w:highlight w:val="none"/>
          <w:u w:val="single"/>
        </w:rPr>
        <w:t>个工作日</w:t>
      </w:r>
      <w:r>
        <w:rPr>
          <w:rFonts w:ascii="Times New Roman" w:hAnsi="Times New Roman"/>
          <w:bCs/>
          <w:color w:val="auto"/>
          <w:sz w:val="24"/>
          <w:highlight w:val="none"/>
        </w:rPr>
        <w:t>内</w:t>
      </w:r>
      <w:r>
        <w:rPr>
          <w:rFonts w:ascii="Times New Roman" w:hAnsi="Times New Roman"/>
          <w:color w:val="auto"/>
          <w:sz w:val="24"/>
          <w:highlight w:val="none"/>
        </w:rPr>
        <w:t>进行项目移交。</w:t>
      </w:r>
    </w:p>
    <w:p w14:paraId="420EDA91">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2、现场技术培训：</w:t>
      </w:r>
      <w:r>
        <w:rPr>
          <w:rFonts w:hint="eastAsia" w:ascii="Times New Roman" w:hAnsi="Times New Roman"/>
          <w:color w:val="auto"/>
          <w:sz w:val="24"/>
          <w:highlight w:val="none"/>
          <w:lang w:val="en-US" w:eastAsia="zh-CN"/>
        </w:rPr>
        <w:t>乙方承诺委派有3年以上行业经验的工程师或系统培训人员对相关系统管理维护、操作人员进行现场实地培训，培训地点及场次由采购人按需指定</w:t>
      </w:r>
      <w:r>
        <w:rPr>
          <w:rFonts w:ascii="Times New Roman" w:hAnsi="Times New Roman"/>
          <w:color w:val="auto"/>
          <w:sz w:val="24"/>
          <w:highlight w:val="none"/>
        </w:rPr>
        <w:t>。</w:t>
      </w:r>
    </w:p>
    <w:p w14:paraId="446B331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五、</w:t>
      </w:r>
      <w:r>
        <w:rPr>
          <w:rFonts w:ascii="Times New Roman" w:hAnsi="Times New Roman"/>
          <w:b/>
          <w:bCs/>
          <w:color w:val="auto"/>
          <w:sz w:val="24"/>
          <w:highlight w:val="none"/>
        </w:rPr>
        <w:t>付款方式及期限</w:t>
      </w:r>
    </w:p>
    <w:p w14:paraId="72C130DA">
      <w:pPr>
        <w:keepNext w:val="0"/>
        <w:keepLines w:val="0"/>
        <w:pageBreakBefore w:val="0"/>
        <w:kinsoku/>
        <w:wordWrap/>
        <w:topLinePunct w:val="0"/>
        <w:bidi w:val="0"/>
        <w:adjustRightInd/>
        <w:spacing w:line="360" w:lineRule="auto"/>
        <w:rPr>
          <w:rFonts w:hint="default" w:ascii="宋体" w:hAnsi="宋体" w:eastAsia="宋体" w:cs="宋体"/>
          <w:bCs/>
          <w:color w:val="auto"/>
          <w:sz w:val="24"/>
          <w:highlight w:val="none"/>
          <w:u w:val="single"/>
          <w:lang w:val="en-US" w:eastAsia="zh-CN"/>
        </w:rPr>
      </w:pPr>
      <w:r>
        <w:rPr>
          <w:rFonts w:hint="eastAsia" w:ascii="宋体" w:hAnsi="宋体" w:cs="宋体"/>
          <w:bCs/>
          <w:color w:val="auto"/>
          <w:sz w:val="24"/>
          <w:highlight w:val="none"/>
          <w:u w:val="none"/>
          <w:lang w:val="en-US" w:eastAsia="zh-CN"/>
        </w:rPr>
        <w:t xml:space="preserve">    1、付款方式：</w:t>
      </w:r>
      <w:r>
        <w:rPr>
          <w:rFonts w:hint="eastAsia" w:ascii="宋体" w:hAnsi="宋体" w:cs="宋体"/>
          <w:bCs/>
          <w:color w:val="auto"/>
          <w:sz w:val="24"/>
          <w:highlight w:val="none"/>
          <w:u w:val="single"/>
          <w:lang w:val="en-US" w:eastAsia="zh-CN"/>
        </w:rPr>
        <w:t xml:space="preserve">                                                          。</w:t>
      </w:r>
    </w:p>
    <w:p w14:paraId="11550283">
      <w:pPr>
        <w:keepNext w:val="0"/>
        <w:keepLines w:val="0"/>
        <w:pageBreakBefore w:val="0"/>
        <w:kinsoku/>
        <w:wordWrap/>
        <w:topLinePunct w:val="0"/>
        <w:bidi w:val="0"/>
        <w:adjustRightInd/>
        <w:spacing w:line="360" w:lineRule="auto"/>
        <w:ind w:firstLine="480" w:firstLineChars="200"/>
        <w:jc w:val="left"/>
        <w:rPr>
          <w:rFonts w:ascii="Times New Roman" w:hAnsi="Times New Roman"/>
          <w:color w:val="auto"/>
          <w:kern w:val="0"/>
          <w:sz w:val="24"/>
          <w:highlight w:val="none"/>
        </w:rPr>
      </w:pPr>
      <w:r>
        <w:rPr>
          <w:rFonts w:ascii="Times New Roman" w:hAnsi="Times New Roman"/>
          <w:color w:val="auto"/>
          <w:kern w:val="0"/>
          <w:sz w:val="24"/>
          <w:highlight w:val="none"/>
        </w:rPr>
        <w:t>甲方付款前，乙方应向甲方出具符合甲方要求的发票，否则乙方自行承担延迟付款的责任,甲方在收到乙方发票30日内支付款项。</w:t>
      </w:r>
    </w:p>
    <w:p w14:paraId="3321A720">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u w:val="none"/>
        </w:rPr>
      </w:pPr>
      <w:r>
        <w:rPr>
          <w:rFonts w:ascii="Times New Roman" w:hAnsi="Times New Roman"/>
          <w:color w:val="auto"/>
          <w:sz w:val="24"/>
          <w:highlight w:val="none"/>
          <w:u w:val="none"/>
        </w:rPr>
        <w:t>2、甲方的付款方式：转账</w:t>
      </w:r>
      <w:r>
        <w:rPr>
          <w:rFonts w:hint="eastAsia"/>
          <w:color w:val="auto"/>
          <w:sz w:val="24"/>
          <w:highlight w:val="none"/>
          <w:u w:val="none"/>
          <w:lang w:eastAsia="zh-CN"/>
        </w:rPr>
        <w:t>☑</w:t>
      </w:r>
      <w:r>
        <w:rPr>
          <w:rFonts w:ascii="Times New Roman" w:hAnsi="Times New Roman"/>
          <w:color w:val="auto"/>
          <w:sz w:val="24"/>
          <w:highlight w:val="none"/>
          <w:u w:val="none"/>
        </w:rPr>
        <w:t xml:space="preserve">  支票</w:t>
      </w:r>
      <w:r>
        <w:rPr>
          <w:rFonts w:hint="eastAsia" w:ascii="Times New Roman" w:hAnsi="Times New Roman"/>
          <w:color w:val="auto"/>
          <w:sz w:val="24"/>
          <w:highlight w:val="none"/>
          <w:u w:val="none"/>
          <w:lang w:eastAsia="zh-CN"/>
        </w:rPr>
        <w:t>□</w:t>
      </w:r>
      <w:r>
        <w:rPr>
          <w:rFonts w:ascii="Times New Roman" w:hAnsi="Times New Roman"/>
          <w:color w:val="auto"/>
          <w:sz w:val="24"/>
          <w:highlight w:val="none"/>
          <w:u w:val="none"/>
        </w:rPr>
        <w:t xml:space="preserve"> 现金</w:t>
      </w:r>
      <w:r>
        <w:rPr>
          <w:rFonts w:hint="eastAsia"/>
          <w:color w:val="auto"/>
          <w:sz w:val="24"/>
          <w:highlight w:val="none"/>
          <w:u w:val="none"/>
          <w:lang w:eastAsia="zh-CN"/>
        </w:rPr>
        <w:t>□</w:t>
      </w:r>
      <w:r>
        <w:rPr>
          <w:rFonts w:ascii="Times New Roman" w:hAnsi="Times New Roman"/>
          <w:color w:val="auto"/>
          <w:sz w:val="24"/>
          <w:highlight w:val="none"/>
          <w:u w:val="none"/>
        </w:rPr>
        <w:t xml:space="preserve"> （请打√）</w:t>
      </w:r>
    </w:p>
    <w:p w14:paraId="0D9C992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none"/>
        </w:rPr>
      </w:pPr>
      <w:r>
        <w:rPr>
          <w:rFonts w:ascii="Times New Roman" w:hAnsi="Times New Roman"/>
          <w:color w:val="auto"/>
          <w:sz w:val="24"/>
          <w:highlight w:val="none"/>
          <w:u w:val="none"/>
        </w:rPr>
        <w:t>3、本合同的所有价格应当包括相关税款和双方各自的成本和费用。</w:t>
      </w:r>
    </w:p>
    <w:p w14:paraId="2A7C12B2">
      <w:pPr>
        <w:keepNext w:val="0"/>
        <w:keepLines w:val="0"/>
        <w:pageBreakBefore w:val="0"/>
        <w:widowControl w:val="0"/>
        <w:kinsoku/>
        <w:wordWrap/>
        <w:overflowPunct/>
        <w:topLinePunct w:val="0"/>
        <w:autoSpaceDE/>
        <w:autoSpaceDN/>
        <w:bidi w:val="0"/>
        <w:adjustRightInd/>
        <w:snapToGrid w:val="0"/>
        <w:spacing w:line="360" w:lineRule="auto"/>
        <w:ind w:left="407" w:leftChars="194"/>
        <w:jc w:val="both"/>
        <w:textAlignment w:val="auto"/>
        <w:rPr>
          <w:rFonts w:hint="default" w:ascii="Times New Roman" w:hAnsi="Times New Roman" w:eastAsia="宋体" w:cs="Times New Roman"/>
          <w:color w:val="auto"/>
          <w:highlight w:val="none"/>
        </w:rPr>
      </w:pPr>
      <w:r>
        <w:rPr>
          <w:rStyle w:val="21"/>
          <w:rFonts w:hint="default" w:ascii="Times New Roman" w:hAnsi="Times New Roman" w:eastAsia="宋体" w:cs="Times New Roman"/>
          <w:b/>
          <w:bCs/>
          <w:color w:val="auto"/>
          <w:kern w:val="2"/>
          <w:sz w:val="24"/>
          <w:szCs w:val="24"/>
          <w:highlight w:val="none"/>
        </w:rPr>
        <w:t>六、</w:t>
      </w:r>
      <w:r>
        <w:rPr>
          <w:rFonts w:ascii="Times New Roman" w:hAnsi="Times New Roman"/>
          <w:b/>
          <w:bCs/>
          <w:color w:val="auto"/>
          <w:sz w:val="24"/>
          <w:highlight w:val="none"/>
        </w:rPr>
        <w:t>质保期及售后服务</w:t>
      </w:r>
    </w:p>
    <w:p w14:paraId="33816E28">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1、乙方提供免费质量保证期为</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single"/>
        </w:rPr>
        <w:t>年</w:t>
      </w:r>
      <w:r>
        <w:rPr>
          <w:rFonts w:ascii="Times New Roman" w:hAnsi="Times New Roman"/>
          <w:color w:val="auto"/>
          <w:sz w:val="24"/>
          <w:highlight w:val="none"/>
        </w:rPr>
        <w:t>。起算时间：自项目终验合格之日起算。</w:t>
      </w:r>
    </w:p>
    <w:p w14:paraId="667F50EB">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2、在质保期内，因乙方所供系统、设备、材料制造或安装质量问题出现故障时，乙方在接甲方通知后，</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single"/>
        </w:rPr>
        <w:t>小时</w:t>
      </w:r>
      <w:r>
        <w:rPr>
          <w:rFonts w:ascii="Times New Roman" w:hAnsi="Times New Roman"/>
          <w:color w:val="auto"/>
          <w:sz w:val="24"/>
          <w:highlight w:val="none"/>
          <w:u w:val="single"/>
        </w:rPr>
        <w:t>内</w:t>
      </w:r>
      <w:r>
        <w:rPr>
          <w:rFonts w:ascii="Times New Roman" w:hAnsi="Times New Roman"/>
          <w:color w:val="auto"/>
          <w:sz w:val="24"/>
          <w:highlight w:val="none"/>
        </w:rPr>
        <w:t>响应、提供在线支持，</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single"/>
        </w:rPr>
        <w:t>小时内</w:t>
      </w:r>
      <w:r>
        <w:rPr>
          <w:rFonts w:ascii="Times New Roman" w:hAnsi="Times New Roman"/>
          <w:color w:val="auto"/>
          <w:sz w:val="24"/>
          <w:highlight w:val="none"/>
        </w:rPr>
        <w:t>解决，若不能及时解决的，</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single"/>
        </w:rPr>
        <w:t>小时内</w:t>
      </w:r>
      <w:r>
        <w:rPr>
          <w:rFonts w:ascii="Times New Roman" w:hAnsi="Times New Roman"/>
          <w:color w:val="auto"/>
          <w:sz w:val="24"/>
          <w:highlight w:val="none"/>
        </w:rPr>
        <w:t>提出解决方案并进行应急处理，直至故障排除完全恢复正常服务为止。否则甲方可自行采取必要的措施，由此产生的风险和费用由乙方承担。如有特殊情况，乙方应立即电话通知甲方不能响应的原因，在获得甲方同意后，才可推迟响应时间。</w:t>
      </w:r>
    </w:p>
    <w:p w14:paraId="3FE3AF03">
      <w:pPr>
        <w:keepNext w:val="0"/>
        <w:keepLines w:val="0"/>
        <w:pageBreakBefore w:val="0"/>
        <w:kinsoku/>
        <w:wordWrap/>
        <w:topLinePunct w:val="0"/>
        <w:bidi w:val="0"/>
        <w:adjustRightInd/>
        <w:spacing w:line="360" w:lineRule="auto"/>
        <w:ind w:firstLine="480" w:firstLineChars="200"/>
        <w:rPr>
          <w:rFonts w:hint="eastAsia" w:ascii="Times New Roman" w:hAnsi="Times New Roman"/>
          <w:color w:val="auto"/>
          <w:sz w:val="24"/>
          <w:highlight w:val="none"/>
        </w:rPr>
      </w:pPr>
      <w:r>
        <w:rPr>
          <w:rFonts w:ascii="Times New Roman" w:hAnsi="Times New Roman"/>
          <w:color w:val="auto"/>
          <w:sz w:val="24"/>
          <w:highlight w:val="none"/>
        </w:rPr>
        <w:t>3、</w:t>
      </w:r>
      <w:r>
        <w:rPr>
          <w:rFonts w:hint="eastAsia" w:ascii="Times New Roman" w:hAnsi="Times New Roman"/>
          <w:color w:val="auto"/>
          <w:sz w:val="24"/>
          <w:highlight w:val="none"/>
        </w:rPr>
        <w:t>免费质保期结束后维保事宜由甲乙双方另行协商。在保修期满后,乙方仍将尽最大商业努力在合理的时间内对发生故障的系统进行故障排除。</w:t>
      </w:r>
    </w:p>
    <w:p w14:paraId="7EEC9BBD">
      <w:pPr>
        <w:pStyle w:val="2"/>
        <w:keepNext w:val="0"/>
        <w:keepLines w:val="0"/>
        <w:pageBreakBefore w:val="0"/>
        <w:kinsoku/>
        <w:wordWrap/>
        <w:topLinePunct w:val="0"/>
        <w:bidi w:val="0"/>
        <w:adjustRightInd/>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4、乙方承诺在</w:t>
      </w:r>
      <w:r>
        <w:rPr>
          <w:rFonts w:hint="eastAsia" w:ascii="Times New Roman" w:hAnsi="Times New Roman"/>
          <w:color w:val="auto"/>
          <w:sz w:val="24"/>
          <w:highlight w:val="none"/>
          <w:lang w:val="en-US" w:eastAsia="zh-CN"/>
        </w:rPr>
        <w:t>免费</w:t>
      </w:r>
      <w:r>
        <w:rPr>
          <w:rFonts w:hint="eastAsia" w:ascii="Times New Roman" w:hAnsi="Times New Roman"/>
          <w:color w:val="auto"/>
          <w:sz w:val="24"/>
          <w:highlight w:val="none"/>
          <w:lang w:val="en-US" w:eastAsia="zh-CN"/>
        </w:rPr>
        <w:t>质保期内，系统软硬件对接接口免费开放。若设备需要接入医院信息系统，所需接口费用一律由乙方承担。</w:t>
      </w:r>
    </w:p>
    <w:p w14:paraId="277B5421">
      <w:pPr>
        <w:pStyle w:val="2"/>
        <w:keepNext w:val="0"/>
        <w:keepLines w:val="0"/>
        <w:pageBreakBefore w:val="0"/>
        <w:kinsoku/>
        <w:wordWrap/>
        <w:topLinePunct w:val="0"/>
        <w:bidi w:val="0"/>
        <w:adjustRightInd/>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5、乙方承诺在免费质保期结束后，每年的维保费用不高于</w:t>
      </w:r>
      <w:r>
        <w:rPr>
          <w:rFonts w:hint="eastAsia" w:ascii="Times New Roman" w:hAnsi="Times New Roman"/>
          <w:color w:val="auto"/>
          <w:sz w:val="24"/>
          <w:highlight w:val="none"/>
          <w:lang w:val="en-US" w:eastAsia="zh-CN"/>
        </w:rPr>
        <w:t>软件</w:t>
      </w:r>
      <w:r>
        <w:rPr>
          <w:rFonts w:hint="eastAsia" w:ascii="Times New Roman" w:hAnsi="Times New Roman"/>
          <w:color w:val="auto"/>
          <w:sz w:val="24"/>
          <w:highlight w:val="none"/>
          <w:lang w:val="en-US" w:eastAsia="zh-CN"/>
        </w:rPr>
        <w:t>总价的5%。</w:t>
      </w:r>
    </w:p>
    <w:p w14:paraId="2FF64490">
      <w:pPr>
        <w:pStyle w:val="2"/>
        <w:keepNext w:val="0"/>
        <w:keepLines w:val="0"/>
        <w:pageBreakBefore w:val="0"/>
        <w:kinsoku/>
        <w:wordWrap/>
        <w:topLinePunct w:val="0"/>
        <w:bidi w:val="0"/>
        <w:adjustRightInd/>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6、</w:t>
      </w:r>
      <w:r>
        <w:rPr>
          <w:rFonts w:hint="eastAsia" w:ascii="Times New Roman" w:hAnsi="Times New Roman"/>
          <w:b w:val="0"/>
          <w:bCs w:val="0"/>
          <w:color w:val="auto"/>
          <w:sz w:val="24"/>
          <w:highlight w:val="none"/>
          <w:u w:val="none"/>
          <w:lang w:val="en-US" w:eastAsia="zh-CN"/>
        </w:rPr>
        <w:t>十年内</w:t>
      </w:r>
      <w:r>
        <w:rPr>
          <w:rFonts w:hint="eastAsia" w:ascii="Times New Roman" w:hAnsi="Times New Roman"/>
          <w:color w:val="auto"/>
          <w:sz w:val="24"/>
          <w:highlight w:val="none"/>
          <w:lang w:val="en-US" w:eastAsia="zh-CN"/>
        </w:rPr>
        <w:t>若对于约定系统、软件有升级、修改、优化的，乙方承诺免费更新至最新版本。</w:t>
      </w:r>
    </w:p>
    <w:p w14:paraId="4B9942D1">
      <w:pPr>
        <w:pStyle w:val="49"/>
        <w:keepNext w:val="0"/>
        <w:keepLines w:val="0"/>
        <w:pageBreakBefore w:val="0"/>
        <w:kinsoku/>
        <w:wordWrap/>
        <w:overflowPunct/>
        <w:topLinePunct w:val="0"/>
        <w:autoSpaceDE/>
        <w:autoSpaceDN/>
        <w:bidi w:val="0"/>
        <w:adjustRightInd/>
        <w:snapToGrid/>
        <w:spacing w:line="360" w:lineRule="auto"/>
        <w:ind w:left="407"/>
        <w:textAlignment w:val="auto"/>
        <w:rPr>
          <w:rStyle w:val="115"/>
          <w:rFonts w:hint="eastAsia" w:ascii="宋体" w:hAnsi="宋体" w:cs="宋体"/>
          <w:b/>
          <w:color w:val="auto"/>
          <w:sz w:val="24"/>
          <w:highlight w:val="none"/>
        </w:rPr>
      </w:pPr>
      <w:r>
        <w:rPr>
          <w:rStyle w:val="115"/>
          <w:rFonts w:hint="eastAsia" w:ascii="宋体" w:hAnsi="宋体" w:cs="宋体"/>
          <w:b/>
          <w:color w:val="auto"/>
          <w:sz w:val="24"/>
          <w:highlight w:val="none"/>
          <w:lang w:val="en-US"/>
        </w:rPr>
        <w:t>七</w:t>
      </w:r>
      <w:r>
        <w:rPr>
          <w:rStyle w:val="115"/>
          <w:rFonts w:hint="eastAsia" w:ascii="宋体" w:hAnsi="宋体" w:cs="宋体"/>
          <w:b/>
          <w:color w:val="auto"/>
          <w:sz w:val="24"/>
          <w:highlight w:val="none"/>
        </w:rPr>
        <w:t>、履约保证金</w:t>
      </w:r>
    </w:p>
    <w:p w14:paraId="700D171F">
      <w:pPr>
        <w:keepNext w:val="0"/>
        <w:keepLines w:val="0"/>
        <w:pageBreakBefore w:val="0"/>
        <w:kinsoku/>
        <w:wordWrap/>
        <w:topLinePunct w:val="0"/>
        <w:bidi w:val="0"/>
        <w:adjustRightInd/>
        <w:spacing w:line="360" w:lineRule="auto"/>
        <w:ind w:firstLine="480" w:firstLineChars="200"/>
        <w:rPr>
          <w:rFonts w:hint="eastAsia" w:ascii="Times New Roman" w:hAnsi="Times New Roman"/>
          <w:color w:val="auto"/>
          <w:sz w:val="24"/>
          <w:highlight w:val="none"/>
        </w:rPr>
      </w:pPr>
      <w:r>
        <w:rPr>
          <w:rFonts w:hint="eastAsia" w:ascii="Times New Roman" w:hAnsi="Times New Roman"/>
          <w:color w:val="auto"/>
          <w:sz w:val="24"/>
          <w:highlight w:val="none"/>
        </w:rPr>
        <w:t>1</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合同签订前，乙方向采购单位交纳人民币</w:t>
      </w:r>
      <w:bookmarkStart w:id="202" w:name="lvbzj"/>
      <w:bookmarkEnd w:id="202"/>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元（大写金额人民币</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元整）</w:t>
      </w:r>
      <w:r>
        <w:rPr>
          <w:rFonts w:hint="eastAsia" w:ascii="Times New Roman" w:hAnsi="Times New Roman"/>
          <w:color w:val="auto"/>
          <w:sz w:val="24"/>
          <w:highlight w:val="none"/>
        </w:rPr>
        <w:t>作为本合同的履约保证金。履约保证金应当以支票、汇票、本票或者金融机构、担保机构出具的保函等非现金形式提交。</w:t>
      </w:r>
    </w:p>
    <w:p w14:paraId="40A8BCEE">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甲方付清全部合同金额的同时返还履约保证金。逾期退还的，应当支付逾期利息，且逾期利息的利率不得低于合同订立时 1 年期贷款市场报价利率。</w:t>
      </w:r>
    </w:p>
    <w:p w14:paraId="5C3FF607">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乙方不履行与甲方订立的合同的，履约保证金不予退还。</w:t>
      </w:r>
    </w:p>
    <w:p w14:paraId="20F03733">
      <w:pPr>
        <w:keepNext w:val="0"/>
        <w:keepLines w:val="0"/>
        <w:pageBreakBefore w:val="0"/>
        <w:kinsoku/>
        <w:wordWrap/>
        <w:topLinePunct w:val="0"/>
        <w:bidi w:val="0"/>
        <w:adjustRightInd/>
        <w:spacing w:line="360" w:lineRule="auto"/>
        <w:ind w:firstLine="480" w:firstLineChars="200"/>
        <w:rPr>
          <w:rFonts w:hint="default" w:eastAsia="黑体"/>
          <w:color w:val="auto"/>
          <w:highlight w:val="none"/>
          <w:lang w:val="en-US" w:eastAsia="zh-CN"/>
        </w:rPr>
      </w:pPr>
      <w:r>
        <w:rPr>
          <w:rFonts w:hint="eastAsia" w:ascii="Times New Roman" w:hAnsi="Times New Roman"/>
          <w:color w:val="auto"/>
          <w:sz w:val="24"/>
          <w:highlight w:val="none"/>
        </w:rPr>
        <w:t>4</w:t>
      </w:r>
      <w:r>
        <w:rPr>
          <w:rFonts w:hint="eastAsia" w:ascii="Times New Roman" w:hAnsi="Times New Roman"/>
          <w:color w:val="auto"/>
          <w:sz w:val="24"/>
          <w:highlight w:val="none"/>
          <w:lang w:eastAsia="zh-CN"/>
        </w:rPr>
        <w:t>、</w:t>
      </w:r>
      <w:r>
        <w:rPr>
          <w:rFonts w:hint="eastAsia" w:ascii="Times New Roman" w:hAnsi="Times New Roman"/>
          <w:color w:val="auto"/>
          <w:sz w:val="24"/>
          <w:highlight w:val="none"/>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162186D">
      <w:pPr>
        <w:keepNext w:val="0"/>
        <w:keepLines w:val="0"/>
        <w:pageBreakBefore w:val="0"/>
        <w:kinsoku/>
        <w:wordWrap/>
        <w:topLinePunct w:val="0"/>
        <w:bidi w:val="0"/>
        <w:adjustRightInd/>
        <w:spacing w:line="360" w:lineRule="auto"/>
        <w:ind w:firstLine="482" w:firstLineChars="200"/>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八</w:t>
      </w:r>
      <w:r>
        <w:rPr>
          <w:rFonts w:ascii="Times New Roman" w:hAnsi="Times New Roman"/>
          <w:b/>
          <w:bCs/>
          <w:color w:val="auto"/>
          <w:sz w:val="24"/>
          <w:highlight w:val="none"/>
        </w:rPr>
        <w:t>、</w:t>
      </w:r>
      <w:r>
        <w:rPr>
          <w:rFonts w:hint="eastAsia" w:ascii="Times New Roman" w:hAnsi="Times New Roman"/>
          <w:b/>
          <w:bCs/>
          <w:color w:val="auto"/>
          <w:sz w:val="24"/>
          <w:highlight w:val="none"/>
        </w:rPr>
        <w:t>技术</w:t>
      </w:r>
      <w:r>
        <w:rPr>
          <w:rFonts w:ascii="Times New Roman" w:hAnsi="Times New Roman"/>
          <w:b/>
          <w:bCs/>
          <w:color w:val="auto"/>
          <w:sz w:val="24"/>
          <w:highlight w:val="none"/>
        </w:rPr>
        <w:t>要求清单：详见附件。</w:t>
      </w:r>
    </w:p>
    <w:p w14:paraId="25B13A80">
      <w:pPr>
        <w:keepNext w:val="0"/>
        <w:keepLines w:val="0"/>
        <w:pageBreakBefore w:val="0"/>
        <w:kinsoku/>
        <w:wordWrap/>
        <w:topLinePunct w:val="0"/>
        <w:bidi w:val="0"/>
        <w:adjustRightInd/>
        <w:spacing w:line="360" w:lineRule="auto"/>
        <w:ind w:firstLine="482" w:firstLineChars="200"/>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九</w:t>
      </w:r>
      <w:r>
        <w:rPr>
          <w:rFonts w:ascii="Times New Roman" w:hAnsi="Times New Roman"/>
          <w:b/>
          <w:bCs/>
          <w:color w:val="auto"/>
          <w:sz w:val="24"/>
          <w:highlight w:val="none"/>
        </w:rPr>
        <w:t>、甲乙双方责任</w:t>
      </w:r>
    </w:p>
    <w:p w14:paraId="7003DF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b/>
          <w:bCs/>
          <w:color w:val="auto"/>
          <w:sz w:val="24"/>
          <w:highlight w:val="none"/>
        </w:rPr>
      </w:pPr>
      <w:r>
        <w:rPr>
          <w:rFonts w:ascii="Times New Roman" w:hAnsi="Times New Roman"/>
          <w:color w:val="auto"/>
          <w:sz w:val="24"/>
          <w:highlight w:val="none"/>
        </w:rPr>
        <w:t>1、甲方负责向乙方提供软件安装</w:t>
      </w:r>
      <w:r>
        <w:rPr>
          <w:rFonts w:hint="eastAsia" w:ascii="Times New Roman" w:hAnsi="Times New Roman"/>
          <w:color w:val="auto"/>
          <w:sz w:val="24"/>
          <w:highlight w:val="none"/>
          <w:lang w:val="en-US" w:eastAsia="zh-CN"/>
        </w:rPr>
        <w:t>升级的</w:t>
      </w:r>
      <w:r>
        <w:rPr>
          <w:rFonts w:ascii="Times New Roman" w:hAnsi="Times New Roman"/>
          <w:color w:val="auto"/>
          <w:sz w:val="24"/>
          <w:highlight w:val="none"/>
        </w:rPr>
        <w:t>工作环境。</w:t>
      </w:r>
    </w:p>
    <w:p w14:paraId="271CE8C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2、甲方应按期向乙方支付相应项目款。</w:t>
      </w:r>
    </w:p>
    <w:p w14:paraId="6B59E4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3、乙方在软件安装、</w:t>
      </w:r>
      <w:r>
        <w:rPr>
          <w:rFonts w:hint="eastAsia" w:ascii="Times New Roman" w:hAnsi="Times New Roman"/>
          <w:color w:val="auto"/>
          <w:sz w:val="24"/>
          <w:highlight w:val="none"/>
          <w:lang w:val="en-US" w:eastAsia="zh-CN"/>
        </w:rPr>
        <w:t>升级、</w:t>
      </w:r>
      <w:r>
        <w:rPr>
          <w:rFonts w:ascii="Times New Roman" w:hAnsi="Times New Roman"/>
          <w:color w:val="auto"/>
          <w:sz w:val="24"/>
          <w:highlight w:val="none"/>
        </w:rPr>
        <w:t>调试、验收过程中，甲方应积极配合。</w:t>
      </w:r>
    </w:p>
    <w:p w14:paraId="317EBA0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4、乙方应按照合同工期完成</w:t>
      </w:r>
      <w:r>
        <w:rPr>
          <w:rFonts w:hint="eastAsia" w:ascii="Times New Roman" w:hAnsi="Times New Roman"/>
          <w:color w:val="auto"/>
          <w:sz w:val="24"/>
          <w:highlight w:val="none"/>
        </w:rPr>
        <w:t>软件</w:t>
      </w:r>
      <w:r>
        <w:rPr>
          <w:rFonts w:ascii="Times New Roman" w:hAnsi="Times New Roman"/>
          <w:color w:val="auto"/>
          <w:sz w:val="24"/>
          <w:highlight w:val="none"/>
        </w:rPr>
        <w:t>安装，确保按期交付运行。</w:t>
      </w:r>
    </w:p>
    <w:p w14:paraId="17CF3DD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5、乙方接受甲方现场监督。</w:t>
      </w:r>
    </w:p>
    <w:p w14:paraId="5AF103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6、乙方在甲方</w:t>
      </w:r>
      <w:r>
        <w:rPr>
          <w:rFonts w:hint="eastAsia" w:ascii="Times New Roman" w:hAnsi="Times New Roman"/>
          <w:color w:val="auto"/>
          <w:sz w:val="24"/>
          <w:highlight w:val="none"/>
        </w:rPr>
        <w:t>软件</w:t>
      </w:r>
      <w:r>
        <w:rPr>
          <w:rFonts w:ascii="Times New Roman" w:hAnsi="Times New Roman"/>
          <w:color w:val="auto"/>
          <w:sz w:val="24"/>
          <w:highlight w:val="none"/>
        </w:rPr>
        <w:t>安装、调试、验收人员的安全、保险、食宿、交通等一切费用，由乙方负责。</w:t>
      </w:r>
    </w:p>
    <w:p w14:paraId="425EB5B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olor w:val="auto"/>
          <w:sz w:val="24"/>
          <w:highlight w:val="none"/>
        </w:rPr>
      </w:pPr>
      <w:r>
        <w:rPr>
          <w:rFonts w:ascii="Times New Roman" w:hAnsi="Times New Roman"/>
          <w:color w:val="auto"/>
          <w:sz w:val="24"/>
          <w:highlight w:val="none"/>
        </w:rPr>
        <w:t>7、本合同所涉及的</w:t>
      </w:r>
      <w:r>
        <w:rPr>
          <w:rFonts w:hint="eastAsia" w:ascii="Times New Roman" w:hAnsi="Times New Roman"/>
          <w:color w:val="auto"/>
          <w:sz w:val="24"/>
          <w:highlight w:val="none"/>
        </w:rPr>
        <w:t>软件</w:t>
      </w:r>
      <w:r>
        <w:rPr>
          <w:rFonts w:ascii="Times New Roman" w:hAnsi="Times New Roman"/>
          <w:color w:val="auto"/>
          <w:sz w:val="24"/>
          <w:highlight w:val="none"/>
        </w:rPr>
        <w:t>安装、调试、验收等，都必须由乙方完成。</w:t>
      </w:r>
    </w:p>
    <w:p w14:paraId="522713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olor w:val="auto"/>
          <w:sz w:val="24"/>
          <w:highlight w:val="none"/>
          <w:lang w:val="en-US" w:eastAsia="zh-CN"/>
        </w:rPr>
      </w:pPr>
      <w:r>
        <w:rPr>
          <w:rFonts w:ascii="Times New Roman" w:hAnsi="Times New Roman"/>
          <w:color w:val="auto"/>
          <w:sz w:val="24"/>
          <w:highlight w:val="none"/>
        </w:rPr>
        <w:t>8、</w:t>
      </w:r>
      <w:r>
        <w:rPr>
          <w:rFonts w:hint="default" w:ascii="Times New Roman" w:hAnsi="Times New Roman"/>
          <w:color w:val="auto"/>
          <w:sz w:val="24"/>
          <w:highlight w:val="none"/>
          <w:lang w:val="en-US" w:eastAsia="zh-CN"/>
        </w:rPr>
        <w:t>根据医院要求免费部署医院医共体单位并提供数据对接服务</w:t>
      </w:r>
      <w:r>
        <w:rPr>
          <w:rFonts w:hint="eastAsia" w:ascii="Times New Roman" w:hAnsi="Times New Roman"/>
          <w:color w:val="auto"/>
          <w:sz w:val="24"/>
          <w:highlight w:val="none"/>
          <w:lang w:val="en-US" w:eastAsia="zh-CN"/>
        </w:rPr>
        <w:t>。</w:t>
      </w:r>
    </w:p>
    <w:p w14:paraId="61161A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9、质保期内，乙方承诺可以满足甲方具体需求，对系统进行免费个性化开发工作。</w:t>
      </w:r>
    </w:p>
    <w:p w14:paraId="1E6A4BC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10、项目的验收必须完全满足甲方医院或医共体单位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p>
    <w:p w14:paraId="3BBEFF1B">
      <w:pPr>
        <w:keepNext w:val="0"/>
        <w:keepLines w:val="0"/>
        <w:pageBreakBefore w:val="0"/>
        <w:kinsoku/>
        <w:wordWrap/>
        <w:topLinePunct w:val="0"/>
        <w:bidi w:val="0"/>
        <w:adjustRightInd/>
        <w:spacing w:line="360" w:lineRule="auto"/>
        <w:ind w:firstLine="482" w:firstLineChars="200"/>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十</w:t>
      </w:r>
      <w:r>
        <w:rPr>
          <w:rFonts w:ascii="Times New Roman" w:hAnsi="Times New Roman"/>
          <w:b/>
          <w:bCs/>
          <w:color w:val="auto"/>
          <w:sz w:val="24"/>
          <w:highlight w:val="none"/>
        </w:rPr>
        <w:t>、甲乙双方的违约责任</w:t>
      </w:r>
    </w:p>
    <w:p w14:paraId="27D0997D">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1、乙方未按合同规定的质量、数量要求交付，甲方有权拒收，由此造成的损失由乙方赔偿，并按合同总价的</w:t>
      </w:r>
      <w:r>
        <w:rPr>
          <w:rFonts w:ascii="Times New Roman" w:hAnsi="Times New Roman"/>
          <w:bCs/>
          <w:color w:val="auto"/>
          <w:sz w:val="24"/>
          <w:highlight w:val="none"/>
        </w:rPr>
        <w:t>万分之三/天</w:t>
      </w:r>
      <w:r>
        <w:rPr>
          <w:rFonts w:ascii="Times New Roman" w:hAnsi="Times New Roman"/>
          <w:color w:val="auto"/>
          <w:sz w:val="24"/>
          <w:highlight w:val="none"/>
        </w:rPr>
        <w:t>赔偿违约金。</w:t>
      </w:r>
    </w:p>
    <w:p w14:paraId="4977CFA3">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2、乙方逾期交付（包括软件整修、返工、补交或由甲方提出更改、乙方承诺，但未在承诺的工期内完成等）应向甲方偿付违约金，每逾期一天，按合同价格的</w:t>
      </w:r>
      <w:r>
        <w:rPr>
          <w:rFonts w:ascii="Times New Roman" w:hAnsi="Times New Roman"/>
          <w:bCs/>
          <w:color w:val="auto"/>
          <w:sz w:val="24"/>
          <w:highlight w:val="none"/>
        </w:rPr>
        <w:t>万分之三/天</w:t>
      </w:r>
      <w:r>
        <w:rPr>
          <w:rFonts w:ascii="Times New Roman" w:hAnsi="Times New Roman"/>
          <w:color w:val="auto"/>
          <w:sz w:val="24"/>
          <w:highlight w:val="none"/>
        </w:rPr>
        <w:t>偿付违约金。</w:t>
      </w:r>
    </w:p>
    <w:p w14:paraId="16038BCB">
      <w:pPr>
        <w:keepNext w:val="0"/>
        <w:keepLines w:val="0"/>
        <w:pageBreakBefore w:val="0"/>
        <w:widowControl/>
        <w:tabs>
          <w:tab w:val="left" w:pos="0"/>
        </w:tabs>
        <w:kinsoku/>
        <w:wordWrap/>
        <w:topLinePunct w:val="0"/>
        <w:bidi w:val="0"/>
        <w:adjustRightInd/>
        <w:spacing w:line="360" w:lineRule="auto"/>
        <w:ind w:firstLine="480" w:firstLineChars="200"/>
        <w:contextualSpacing/>
        <w:jc w:val="left"/>
        <w:rPr>
          <w:rFonts w:ascii="Times New Roman" w:hAnsi="Times New Roman"/>
          <w:color w:val="auto"/>
          <w:sz w:val="24"/>
          <w:highlight w:val="none"/>
        </w:rPr>
      </w:pPr>
      <w:r>
        <w:rPr>
          <w:rFonts w:ascii="Times New Roman" w:hAnsi="Times New Roman"/>
          <w:color w:val="auto"/>
          <w:sz w:val="24"/>
          <w:highlight w:val="none"/>
        </w:rPr>
        <w:t>3、质保期内乙方接到甲方的故障报修电话，未在</w:t>
      </w:r>
      <w:r>
        <w:rPr>
          <w:rFonts w:hint="eastAsia" w:ascii="Times New Roman" w:hAnsi="Times New Roman"/>
          <w:color w:val="auto"/>
          <w:sz w:val="24"/>
          <w:highlight w:val="none"/>
          <w:u w:val="single"/>
          <w:lang w:val="en-US" w:eastAsia="zh-CN"/>
        </w:rPr>
        <w:t xml:space="preserve">    分钟</w:t>
      </w:r>
      <w:r>
        <w:rPr>
          <w:rFonts w:ascii="Times New Roman" w:hAnsi="Times New Roman"/>
          <w:color w:val="auto"/>
          <w:sz w:val="24"/>
          <w:highlight w:val="none"/>
          <w:u w:val="single"/>
        </w:rPr>
        <w:t>内</w:t>
      </w:r>
      <w:r>
        <w:rPr>
          <w:rFonts w:ascii="Times New Roman" w:hAnsi="Times New Roman"/>
          <w:color w:val="auto"/>
          <w:sz w:val="24"/>
          <w:highlight w:val="none"/>
        </w:rPr>
        <w:t>响应或提供在线支持服务；或虽然响应或提供在线支持服务但</w:t>
      </w:r>
      <w:r>
        <w:rPr>
          <w:rFonts w:hint="eastAsia" w:ascii="Times New Roman" w:hAnsi="Times New Roman"/>
          <w:color w:val="auto"/>
          <w:sz w:val="24"/>
          <w:highlight w:val="none"/>
          <w:u w:val="single"/>
          <w:lang w:val="en-US" w:eastAsia="zh-CN"/>
        </w:rPr>
        <w:t xml:space="preserve">    分钟</w:t>
      </w:r>
      <w:r>
        <w:rPr>
          <w:rFonts w:ascii="Times New Roman" w:hAnsi="Times New Roman"/>
          <w:color w:val="auto"/>
          <w:sz w:val="24"/>
          <w:highlight w:val="none"/>
          <w:u w:val="single"/>
        </w:rPr>
        <w:t>内</w:t>
      </w:r>
      <w:r>
        <w:rPr>
          <w:rFonts w:ascii="Times New Roman" w:hAnsi="Times New Roman"/>
          <w:color w:val="auto"/>
          <w:sz w:val="24"/>
          <w:highlight w:val="none"/>
        </w:rPr>
        <w:t>无法排除故障的，导致系统瘫痪，瘫痪每24小时，乙方应支付甲方违约金5000元每次，累加计算。</w:t>
      </w:r>
    </w:p>
    <w:p w14:paraId="0EB37C1F">
      <w:pPr>
        <w:keepNext w:val="0"/>
        <w:keepLines w:val="0"/>
        <w:pageBreakBefore w:val="0"/>
        <w:widowControl/>
        <w:tabs>
          <w:tab w:val="left" w:pos="0"/>
        </w:tabs>
        <w:kinsoku/>
        <w:wordWrap/>
        <w:topLinePunct w:val="0"/>
        <w:bidi w:val="0"/>
        <w:adjustRightInd/>
        <w:spacing w:line="360" w:lineRule="auto"/>
        <w:ind w:firstLine="480" w:firstLineChars="200"/>
        <w:contextualSpacing/>
        <w:jc w:val="left"/>
        <w:rPr>
          <w:rFonts w:hint="eastAsia" w:eastAsia="黑体"/>
          <w:color w:val="auto"/>
          <w:highlight w:val="none"/>
          <w:lang w:val="en-US" w:eastAsia="zh-CN"/>
        </w:rPr>
      </w:pPr>
      <w:r>
        <w:rPr>
          <w:rFonts w:ascii="Times New Roman" w:hAnsi="Times New Roman"/>
          <w:color w:val="auto"/>
          <w:sz w:val="24"/>
          <w:highlight w:val="none"/>
        </w:rPr>
        <w:t>4、由于系统漏洞造成的损失由乙方全权负责。</w:t>
      </w:r>
    </w:p>
    <w:p w14:paraId="6A803C41">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双方应严格按照法律规定及协议约定履行义务，当事人一方不履行合作协议义务或者履行义务不符合约定的，履约一方有权要求违约方承担继续履行、采取补救措施或者赔偿损失等违约责任。</w:t>
      </w:r>
    </w:p>
    <w:p w14:paraId="46BC9F24">
      <w:pPr>
        <w:keepNext w:val="0"/>
        <w:keepLines w:val="0"/>
        <w:pageBreakBefore w:val="0"/>
        <w:kinsoku/>
        <w:wordWrap/>
        <w:topLinePunct w:val="0"/>
        <w:bidi w:val="0"/>
        <w:adjustRightInd/>
        <w:spacing w:line="360" w:lineRule="auto"/>
        <w:ind w:firstLine="482" w:firstLineChars="200"/>
        <w:rPr>
          <w:rFonts w:ascii="Times New Roman" w:hAnsi="Times New Roman"/>
          <w:b/>
          <w:color w:val="auto"/>
          <w:sz w:val="24"/>
          <w:highlight w:val="none"/>
        </w:rPr>
      </w:pPr>
      <w:r>
        <w:rPr>
          <w:rFonts w:ascii="Times New Roman" w:hAnsi="Times New Roman"/>
          <w:b/>
          <w:color w:val="auto"/>
          <w:sz w:val="24"/>
          <w:highlight w:val="none"/>
        </w:rPr>
        <w:t>十</w:t>
      </w:r>
      <w:r>
        <w:rPr>
          <w:rFonts w:hint="eastAsia" w:ascii="Times New Roman" w:hAnsi="Times New Roman"/>
          <w:b/>
          <w:color w:val="auto"/>
          <w:sz w:val="24"/>
          <w:highlight w:val="none"/>
          <w:lang w:val="en-US" w:eastAsia="zh-CN"/>
        </w:rPr>
        <w:t>一</w:t>
      </w:r>
      <w:r>
        <w:rPr>
          <w:rFonts w:ascii="Times New Roman" w:hAnsi="Times New Roman"/>
          <w:b/>
          <w:color w:val="auto"/>
          <w:sz w:val="24"/>
          <w:highlight w:val="none"/>
        </w:rPr>
        <w:t>、合同终止</w:t>
      </w:r>
    </w:p>
    <w:p w14:paraId="08577D78">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出现下列情况之一的，合同将终止：</w:t>
      </w:r>
    </w:p>
    <w:p w14:paraId="276AB40C">
      <w:pPr>
        <w:keepNext w:val="0"/>
        <w:keepLines w:val="0"/>
        <w:pageBreakBefore w:val="0"/>
        <w:widowControl/>
        <w:tabs>
          <w:tab w:val="left" w:pos="0"/>
        </w:tabs>
        <w:kinsoku/>
        <w:wordWrap/>
        <w:topLinePunct w:val="0"/>
        <w:bidi w:val="0"/>
        <w:adjustRightInd/>
        <w:spacing w:line="360" w:lineRule="auto"/>
        <w:ind w:firstLine="480" w:firstLineChars="200"/>
        <w:contextualSpacing/>
        <w:jc w:val="left"/>
        <w:rPr>
          <w:rFonts w:ascii="Times New Roman" w:hAnsi="Times New Roman"/>
          <w:color w:val="auto"/>
          <w:szCs w:val="22"/>
          <w:highlight w:val="none"/>
        </w:rPr>
      </w:pPr>
      <w:r>
        <w:rPr>
          <w:rFonts w:ascii="Times New Roman" w:hAnsi="Times New Roman"/>
          <w:color w:val="auto"/>
          <w:sz w:val="24"/>
          <w:highlight w:val="none"/>
        </w:rPr>
        <w:t>1、合同履行完毕、权利义务关系终止的；</w:t>
      </w:r>
    </w:p>
    <w:p w14:paraId="4BCEDA39">
      <w:pPr>
        <w:keepNext w:val="0"/>
        <w:keepLines w:val="0"/>
        <w:pageBreakBefore w:val="0"/>
        <w:widowControl/>
        <w:tabs>
          <w:tab w:val="left" w:pos="0"/>
        </w:tabs>
        <w:kinsoku/>
        <w:wordWrap/>
        <w:topLinePunct w:val="0"/>
        <w:bidi w:val="0"/>
        <w:adjustRightInd/>
        <w:spacing w:line="360" w:lineRule="auto"/>
        <w:ind w:firstLine="480" w:firstLineChars="200"/>
        <w:contextualSpacing/>
        <w:jc w:val="left"/>
        <w:rPr>
          <w:rFonts w:ascii="Times New Roman" w:hAnsi="Times New Roman"/>
          <w:color w:val="auto"/>
          <w:sz w:val="24"/>
          <w:highlight w:val="none"/>
        </w:rPr>
      </w:pPr>
      <w:r>
        <w:rPr>
          <w:rFonts w:ascii="Times New Roman" w:hAnsi="Times New Roman"/>
          <w:color w:val="auto"/>
          <w:sz w:val="24"/>
          <w:highlight w:val="none"/>
        </w:rPr>
        <w:t>2、如工期逾期超30日，甲方有权解除合同，合同自通知到达乙方时解除。乙方应退还甲方已经支付的款项及利息，并赔偿给甲方造成的全部损失。</w:t>
      </w:r>
    </w:p>
    <w:p w14:paraId="1DDB6CB2">
      <w:pPr>
        <w:keepNext w:val="0"/>
        <w:keepLines w:val="0"/>
        <w:pageBreakBefore w:val="0"/>
        <w:tabs>
          <w:tab w:val="left" w:pos="0"/>
        </w:tabs>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3、系统漏洞造成损失金额超过5000元，乙方需赔偿给甲方造成的全部损失，包括但不限于甲方因此支付的律师费、诉讼费、交通费等一切费用。甲方有权终止合同，同时保留进一步追究乙方行政、法律责任的权利。</w:t>
      </w:r>
    </w:p>
    <w:p w14:paraId="50F59B89">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4、国家法律、法规、条例进行调整，禁止本合同延续的；或合同一方被国家执法机关处罚、查封关闭的；</w:t>
      </w:r>
    </w:p>
    <w:p w14:paraId="4BC2D8B4">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5、一方严重违约（如乙方逾期供货、质量低下导致甲方使用中存在安全风险、以及可能会造成甲方其他严重后果）的；</w:t>
      </w:r>
    </w:p>
    <w:p w14:paraId="7D167DD2">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6、发生严重纠纷、事故，影响医疗秩序的或存在严重纠纷、医疗事故隐患的，以及其他严重影响医院声誉情况的；</w:t>
      </w:r>
    </w:p>
    <w:p w14:paraId="282FC213">
      <w:pPr>
        <w:keepNext w:val="0"/>
        <w:keepLines w:val="0"/>
        <w:pageBreakBefore w:val="0"/>
        <w:kinsoku/>
        <w:wordWrap/>
        <w:topLinePunct w:val="0"/>
        <w:bidi w:val="0"/>
        <w:adjustRightInd/>
        <w:spacing w:line="36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7、其他国家法律、法规规定的或经双方共同认可的其他可终止合同情况。</w:t>
      </w:r>
    </w:p>
    <w:p w14:paraId="457BF572">
      <w:pPr>
        <w:keepNext w:val="0"/>
        <w:keepLines w:val="0"/>
        <w:pageBreakBefore w:val="0"/>
        <w:widowControl/>
        <w:kinsoku/>
        <w:wordWrap/>
        <w:overflowPunct w:val="0"/>
        <w:topLinePunct w:val="0"/>
        <w:autoSpaceDE w:val="0"/>
        <w:autoSpaceDN w:val="0"/>
        <w:bidi w:val="0"/>
        <w:adjustRightInd/>
        <w:snapToGrid w:val="0"/>
        <w:spacing w:line="360" w:lineRule="auto"/>
        <w:ind w:firstLine="482" w:firstLineChars="200"/>
        <w:jc w:val="left"/>
        <w:textAlignment w:val="baseline"/>
        <w:rPr>
          <w:rFonts w:ascii="Times New Roman" w:hAnsi="Times New Roman"/>
          <w:b/>
          <w:bCs/>
          <w:color w:val="auto"/>
          <w:kern w:val="0"/>
          <w:sz w:val="24"/>
          <w:highlight w:val="none"/>
        </w:rPr>
      </w:pPr>
      <w:r>
        <w:rPr>
          <w:rFonts w:ascii="Times New Roman" w:hAnsi="Times New Roman"/>
          <w:b/>
          <w:bCs/>
          <w:color w:val="auto"/>
          <w:kern w:val="0"/>
          <w:sz w:val="24"/>
          <w:highlight w:val="none"/>
        </w:rPr>
        <w:t>十</w:t>
      </w:r>
      <w:r>
        <w:rPr>
          <w:rFonts w:hint="eastAsia" w:ascii="Times New Roman" w:hAnsi="Times New Roman"/>
          <w:b/>
          <w:bCs/>
          <w:color w:val="auto"/>
          <w:kern w:val="0"/>
          <w:sz w:val="24"/>
          <w:highlight w:val="none"/>
          <w:lang w:val="en-US" w:eastAsia="zh-CN"/>
        </w:rPr>
        <w:t>二</w:t>
      </w:r>
      <w:r>
        <w:rPr>
          <w:rFonts w:ascii="Times New Roman" w:hAnsi="Times New Roman"/>
          <w:b/>
          <w:bCs/>
          <w:color w:val="auto"/>
          <w:kern w:val="0"/>
          <w:sz w:val="24"/>
          <w:highlight w:val="none"/>
        </w:rPr>
        <w:t>、软件知识产权及专利权：</w:t>
      </w:r>
    </w:p>
    <w:p w14:paraId="59C1789D">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1、本合同中所销售软件的所有著作权或其他知识产权应归乙方所有。</w:t>
      </w:r>
    </w:p>
    <w:p w14:paraId="55636054">
      <w:pPr>
        <w:keepNext w:val="0"/>
        <w:keepLines w:val="0"/>
        <w:pageBreakBefore w:val="0"/>
        <w:kinsoku/>
        <w:wordWrap/>
        <w:topLinePunct w:val="0"/>
        <w:bidi w:val="0"/>
        <w:adjustRightInd/>
        <w:spacing w:line="360" w:lineRule="auto"/>
        <w:ind w:firstLine="480" w:firstLineChars="200"/>
        <w:rPr>
          <w:rFonts w:ascii="Times New Roman" w:hAnsi="Times New Roman"/>
          <w:color w:val="auto"/>
          <w:kern w:val="0"/>
          <w:sz w:val="24"/>
          <w:highlight w:val="none"/>
        </w:rPr>
      </w:pPr>
      <w:r>
        <w:rPr>
          <w:rFonts w:hint="eastAsia" w:ascii="Times New Roman" w:hAnsi="Times New Roman"/>
          <w:color w:val="auto"/>
          <w:kern w:val="0"/>
          <w:sz w:val="24"/>
          <w:highlight w:val="none"/>
        </w:rPr>
        <w:t>2</w:t>
      </w:r>
      <w:r>
        <w:rPr>
          <w:rFonts w:ascii="Times New Roman" w:hAnsi="Times New Roman"/>
          <w:color w:val="auto"/>
          <w:kern w:val="0"/>
          <w:sz w:val="24"/>
          <w:highlight w:val="none"/>
        </w:rPr>
        <w:t>、乙方应保证甲方在使用该平台时不受第三方提出侵犯专利权、知识产权或工业设计权的指控。如果任何第三方提出侵权指控，乙方须与第三方交涉并承担可能发生的一切法律责任和费用</w:t>
      </w:r>
      <w:r>
        <w:rPr>
          <w:rFonts w:ascii="Times New Roman" w:hAnsi="Times New Roman"/>
          <w:color w:val="auto"/>
          <w:sz w:val="24"/>
          <w:highlight w:val="none"/>
        </w:rPr>
        <w:t>，包括但不限于甲方因此支付的律师费、诉讼费、交通费等一切费用。</w:t>
      </w:r>
    </w:p>
    <w:p w14:paraId="2A160297">
      <w:pPr>
        <w:keepNext w:val="0"/>
        <w:keepLines w:val="0"/>
        <w:pageBreakBefore w:val="0"/>
        <w:widowControl/>
        <w:kinsoku/>
        <w:wordWrap/>
        <w:overflowPunct w:val="0"/>
        <w:topLinePunct w:val="0"/>
        <w:autoSpaceDE w:val="0"/>
        <w:autoSpaceDN w:val="0"/>
        <w:bidi w:val="0"/>
        <w:adjustRightInd/>
        <w:snapToGrid w:val="0"/>
        <w:spacing w:line="360" w:lineRule="auto"/>
        <w:ind w:firstLine="482" w:firstLineChars="200"/>
        <w:jc w:val="left"/>
        <w:textAlignment w:val="baseline"/>
        <w:rPr>
          <w:rFonts w:ascii="Times New Roman" w:hAnsi="Times New Roman"/>
          <w:b/>
          <w:bCs/>
          <w:color w:val="auto"/>
          <w:kern w:val="0"/>
          <w:sz w:val="24"/>
          <w:highlight w:val="none"/>
        </w:rPr>
      </w:pPr>
      <w:r>
        <w:rPr>
          <w:rFonts w:ascii="Times New Roman" w:hAnsi="Times New Roman"/>
          <w:b/>
          <w:bCs/>
          <w:color w:val="auto"/>
          <w:kern w:val="0"/>
          <w:sz w:val="24"/>
          <w:highlight w:val="none"/>
        </w:rPr>
        <w:t>十</w:t>
      </w:r>
      <w:r>
        <w:rPr>
          <w:rFonts w:hint="eastAsia" w:ascii="Times New Roman" w:hAnsi="Times New Roman"/>
          <w:b/>
          <w:bCs/>
          <w:color w:val="auto"/>
          <w:kern w:val="0"/>
          <w:sz w:val="24"/>
          <w:highlight w:val="none"/>
          <w:lang w:val="en-US" w:eastAsia="zh-CN"/>
        </w:rPr>
        <w:t>三</w:t>
      </w:r>
      <w:r>
        <w:rPr>
          <w:rFonts w:ascii="Times New Roman" w:hAnsi="Times New Roman"/>
          <w:b/>
          <w:bCs/>
          <w:color w:val="auto"/>
          <w:kern w:val="0"/>
          <w:sz w:val="24"/>
          <w:highlight w:val="none"/>
        </w:rPr>
        <w:t>、保密和双方承诺：</w:t>
      </w:r>
    </w:p>
    <w:p w14:paraId="198AE297">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1、甲方承诺，其有充分资格、行为能力及权限签订本合同，并将按照本协议履行义务；乙方承诺拥有出售的系统的所有权、知识产权及提供本合同项下相关服务的权利。</w:t>
      </w:r>
    </w:p>
    <w:p w14:paraId="378A2DB5">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2、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p>
    <w:p w14:paraId="450AE587">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3、乙方承诺做好甲方数据保密工作，不得将甲方的医疗信息、患者信息、药品信息等数据泄漏，如发现泄漏但未造成损失的，甲方有权向乙方要求赔偿违约金2万元每次，累加计算；如乙方泄漏且造成损害后果的，所有责任均由乙方自行承担，包括但不限于甲方因此支付的律师费、诉讼费、交通费等一切费用。如触犯法律的，则负相应法律责任。</w:t>
      </w:r>
    </w:p>
    <w:p w14:paraId="414163F4">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4、本条约定的保密等相关义务应当在本合同的期间内及终止后一直有效。</w:t>
      </w:r>
    </w:p>
    <w:p w14:paraId="51349544">
      <w:pPr>
        <w:keepNext w:val="0"/>
        <w:keepLines w:val="0"/>
        <w:pageBreakBefore w:val="0"/>
        <w:widowControl/>
        <w:kinsoku/>
        <w:wordWrap/>
        <w:overflowPunct w:val="0"/>
        <w:topLinePunct w:val="0"/>
        <w:autoSpaceDE w:val="0"/>
        <w:autoSpaceDN w:val="0"/>
        <w:bidi w:val="0"/>
        <w:adjustRightInd/>
        <w:snapToGrid w:val="0"/>
        <w:spacing w:line="360" w:lineRule="auto"/>
        <w:ind w:firstLine="482" w:firstLineChars="200"/>
        <w:jc w:val="left"/>
        <w:textAlignment w:val="baseline"/>
        <w:rPr>
          <w:rFonts w:ascii="Times New Roman" w:hAnsi="Times New Roman"/>
          <w:b/>
          <w:color w:val="auto"/>
          <w:kern w:val="0"/>
          <w:sz w:val="24"/>
          <w:highlight w:val="none"/>
        </w:rPr>
      </w:pPr>
      <w:r>
        <w:rPr>
          <w:rFonts w:ascii="Times New Roman" w:hAnsi="Times New Roman"/>
          <w:b/>
          <w:color w:val="auto"/>
          <w:kern w:val="0"/>
          <w:sz w:val="24"/>
          <w:highlight w:val="none"/>
        </w:rPr>
        <w:t>十</w:t>
      </w:r>
      <w:r>
        <w:rPr>
          <w:rFonts w:hint="eastAsia" w:ascii="Times New Roman" w:hAnsi="Times New Roman"/>
          <w:b/>
          <w:color w:val="auto"/>
          <w:kern w:val="0"/>
          <w:sz w:val="24"/>
          <w:highlight w:val="none"/>
          <w:lang w:val="en-US" w:eastAsia="zh-CN"/>
        </w:rPr>
        <w:t>四</w:t>
      </w:r>
      <w:r>
        <w:rPr>
          <w:rFonts w:ascii="Times New Roman" w:hAnsi="Times New Roman"/>
          <w:b/>
          <w:color w:val="auto"/>
          <w:kern w:val="0"/>
          <w:sz w:val="24"/>
          <w:highlight w:val="none"/>
        </w:rPr>
        <w:t>、不可抗力事件处理</w:t>
      </w:r>
    </w:p>
    <w:p w14:paraId="6A1B117F">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1、在合同有效期内，任何一方因不可抗力事件导致不能履行合同，则合同履行期可延长，其延长期与不可抗力影响期相同。</w:t>
      </w:r>
    </w:p>
    <w:p w14:paraId="5FD2149D">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2、不可抗力事件发生后，应立即通知对方，并寄送有关权威机构出具的证明。</w:t>
      </w:r>
    </w:p>
    <w:p w14:paraId="588FA7BC">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3、不可抗力事件延续120天以上，双方应通过友好协商，确定是否继续履行合同。</w:t>
      </w:r>
    </w:p>
    <w:p w14:paraId="7FD0A809">
      <w:pPr>
        <w:keepNext w:val="0"/>
        <w:keepLines w:val="0"/>
        <w:pageBreakBefore w:val="0"/>
        <w:widowControl/>
        <w:kinsoku/>
        <w:wordWrap/>
        <w:overflowPunct w:val="0"/>
        <w:topLinePunct w:val="0"/>
        <w:autoSpaceDE w:val="0"/>
        <w:autoSpaceDN w:val="0"/>
        <w:bidi w:val="0"/>
        <w:adjustRightInd/>
        <w:snapToGrid w:val="0"/>
        <w:spacing w:line="360" w:lineRule="auto"/>
        <w:ind w:firstLine="482" w:firstLineChars="200"/>
        <w:jc w:val="left"/>
        <w:textAlignment w:val="baseline"/>
        <w:rPr>
          <w:rFonts w:ascii="Times New Roman" w:hAnsi="Times New Roman"/>
          <w:b/>
          <w:color w:val="auto"/>
          <w:kern w:val="0"/>
          <w:sz w:val="24"/>
          <w:highlight w:val="none"/>
        </w:rPr>
      </w:pPr>
      <w:r>
        <w:rPr>
          <w:rFonts w:ascii="Times New Roman" w:hAnsi="Times New Roman"/>
          <w:b/>
          <w:color w:val="auto"/>
          <w:kern w:val="0"/>
          <w:sz w:val="24"/>
          <w:highlight w:val="none"/>
        </w:rPr>
        <w:t>十</w:t>
      </w:r>
      <w:r>
        <w:rPr>
          <w:rFonts w:hint="eastAsia" w:ascii="Times New Roman" w:hAnsi="Times New Roman"/>
          <w:b/>
          <w:color w:val="auto"/>
          <w:kern w:val="0"/>
          <w:sz w:val="24"/>
          <w:highlight w:val="none"/>
          <w:lang w:val="en-US" w:eastAsia="zh-CN"/>
        </w:rPr>
        <w:t>五</w:t>
      </w:r>
      <w:r>
        <w:rPr>
          <w:rFonts w:ascii="Times New Roman" w:hAnsi="Times New Roman"/>
          <w:b/>
          <w:color w:val="auto"/>
          <w:kern w:val="0"/>
          <w:sz w:val="24"/>
          <w:highlight w:val="none"/>
        </w:rPr>
        <w:t>、转包或分包</w:t>
      </w:r>
    </w:p>
    <w:p w14:paraId="26000B1C">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1、本合同范围内产品或服务，应由乙方直接供应，不得转让第三方供应；</w:t>
      </w:r>
    </w:p>
    <w:p w14:paraId="34987D96">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2、除非得到甲方的书面同意，乙方不得部分分包给他人供应。</w:t>
      </w:r>
    </w:p>
    <w:p w14:paraId="161B5501">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 xml:space="preserve">3、如有转让和未经甲方书面同意的分包行为，甲方有权单方终止合同并不承担任何违约责任。 </w:t>
      </w:r>
    </w:p>
    <w:p w14:paraId="57CA5050">
      <w:pPr>
        <w:keepNext w:val="0"/>
        <w:keepLines w:val="0"/>
        <w:pageBreakBefore w:val="0"/>
        <w:widowControl/>
        <w:kinsoku/>
        <w:wordWrap/>
        <w:overflowPunct w:val="0"/>
        <w:topLinePunct w:val="0"/>
        <w:autoSpaceDE w:val="0"/>
        <w:autoSpaceDN w:val="0"/>
        <w:bidi w:val="0"/>
        <w:adjustRightInd/>
        <w:snapToGrid w:val="0"/>
        <w:spacing w:line="360" w:lineRule="auto"/>
        <w:ind w:firstLine="482" w:firstLineChars="200"/>
        <w:jc w:val="left"/>
        <w:textAlignment w:val="baseline"/>
        <w:rPr>
          <w:rFonts w:ascii="Times New Roman" w:hAnsi="Times New Roman"/>
          <w:b/>
          <w:color w:val="auto"/>
          <w:kern w:val="0"/>
          <w:sz w:val="24"/>
          <w:highlight w:val="none"/>
        </w:rPr>
      </w:pPr>
      <w:r>
        <w:rPr>
          <w:rFonts w:ascii="Times New Roman" w:hAnsi="Times New Roman"/>
          <w:b/>
          <w:color w:val="auto"/>
          <w:kern w:val="0"/>
          <w:sz w:val="24"/>
          <w:highlight w:val="none"/>
        </w:rPr>
        <w:t>十</w:t>
      </w:r>
      <w:r>
        <w:rPr>
          <w:rFonts w:hint="eastAsia" w:ascii="Times New Roman" w:hAnsi="Times New Roman"/>
          <w:b/>
          <w:color w:val="auto"/>
          <w:kern w:val="0"/>
          <w:sz w:val="24"/>
          <w:highlight w:val="none"/>
          <w:lang w:val="en-US" w:eastAsia="zh-CN"/>
        </w:rPr>
        <w:t>六</w:t>
      </w:r>
      <w:r>
        <w:rPr>
          <w:rFonts w:ascii="Times New Roman" w:hAnsi="Times New Roman"/>
          <w:b/>
          <w:color w:val="auto"/>
          <w:kern w:val="0"/>
          <w:sz w:val="24"/>
          <w:highlight w:val="none"/>
        </w:rPr>
        <w:t>、争议解决</w:t>
      </w:r>
    </w:p>
    <w:p w14:paraId="0276FA6E">
      <w:pPr>
        <w:keepNext w:val="0"/>
        <w:keepLines w:val="0"/>
        <w:pageBreakBefore w:val="0"/>
        <w:widowControl/>
        <w:kinsoku/>
        <w:wordWrap/>
        <w:topLinePunct w:val="0"/>
        <w:bidi w:val="0"/>
        <w:adjustRightInd/>
        <w:spacing w:line="360" w:lineRule="auto"/>
        <w:ind w:firstLine="480" w:firstLineChars="200"/>
        <w:jc w:val="left"/>
        <w:rPr>
          <w:rFonts w:ascii="Times New Roman" w:hAnsi="Times New Roman"/>
          <w:color w:val="auto"/>
          <w:kern w:val="0"/>
          <w:sz w:val="24"/>
          <w:highlight w:val="none"/>
        </w:rPr>
      </w:pPr>
      <w:r>
        <w:rPr>
          <w:rFonts w:ascii="Times New Roman" w:hAnsi="Times New Roman"/>
          <w:color w:val="auto"/>
          <w:kern w:val="0"/>
          <w:sz w:val="24"/>
          <w:highlight w:val="none"/>
        </w:rPr>
        <w:t>因履行本合同发生的争议，由甲乙双方协商解决，协商不成，甲乙任何一方可依法向甲方所在地人民法院起诉。</w:t>
      </w:r>
    </w:p>
    <w:p w14:paraId="63E76C5F">
      <w:pPr>
        <w:keepNext w:val="0"/>
        <w:keepLines w:val="0"/>
        <w:pageBreakBefore w:val="0"/>
        <w:kinsoku/>
        <w:wordWrap/>
        <w:topLinePunct w:val="0"/>
        <w:bidi w:val="0"/>
        <w:adjustRightInd/>
        <w:spacing w:line="360" w:lineRule="auto"/>
        <w:ind w:firstLine="482" w:firstLineChars="200"/>
        <w:rPr>
          <w:rFonts w:ascii="Times New Roman" w:hAnsi="Times New Roman"/>
          <w:b/>
          <w:bCs/>
          <w:color w:val="auto"/>
          <w:sz w:val="24"/>
          <w:highlight w:val="none"/>
        </w:rPr>
      </w:pPr>
      <w:r>
        <w:rPr>
          <w:rFonts w:ascii="Times New Roman" w:hAnsi="Times New Roman"/>
          <w:b/>
          <w:bCs/>
          <w:color w:val="auto"/>
          <w:sz w:val="24"/>
          <w:highlight w:val="none"/>
        </w:rPr>
        <w:t>十</w:t>
      </w:r>
      <w:r>
        <w:rPr>
          <w:rFonts w:hint="eastAsia" w:ascii="Times New Roman" w:hAnsi="Times New Roman"/>
          <w:b/>
          <w:bCs/>
          <w:color w:val="auto"/>
          <w:sz w:val="24"/>
          <w:highlight w:val="none"/>
          <w:lang w:val="en-US" w:eastAsia="zh-CN"/>
        </w:rPr>
        <w:t>七</w:t>
      </w:r>
      <w:r>
        <w:rPr>
          <w:rFonts w:ascii="Times New Roman" w:hAnsi="Times New Roman"/>
          <w:b/>
          <w:bCs/>
          <w:color w:val="auto"/>
          <w:sz w:val="24"/>
          <w:highlight w:val="none"/>
        </w:rPr>
        <w:t>、合同的生效</w:t>
      </w:r>
    </w:p>
    <w:p w14:paraId="3B2D269E">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1、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14:paraId="7255092E">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2、合同经双方法定代表人或授权委托代表人签字盖章后生效。</w:t>
      </w:r>
    </w:p>
    <w:p w14:paraId="798FBAD8">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3、合同组成</w:t>
      </w:r>
    </w:p>
    <w:p w14:paraId="503FADFB">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下列文件为本合同不可分割部分：</w:t>
      </w:r>
    </w:p>
    <w:p w14:paraId="2F0162A1">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① 合同书；</w:t>
      </w:r>
    </w:p>
    <w:p w14:paraId="3D467918">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② 商谈文件要求及其附件；</w:t>
      </w:r>
    </w:p>
    <w:p w14:paraId="16712690">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③ 乙方递交的商谈文件；</w:t>
      </w:r>
    </w:p>
    <w:p w14:paraId="18C2666B">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④ 乙方在商谈过程中所作的承诺、声明、书面澄清等；</w:t>
      </w:r>
    </w:p>
    <w:p w14:paraId="362FA7B8">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⑤ 合同附件。</w:t>
      </w:r>
    </w:p>
    <w:p w14:paraId="251C9810">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在合同订立及履行过程中形成的与合同有关的文件均构成合同文件组成部分。</w:t>
      </w:r>
    </w:p>
    <w:p w14:paraId="4DE7A876">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上述各项合同文件包括合同当事人就该项合同文件所作出的补充和修改，具有同等法律效力，属于同一类内容的文件，如存在歧义或相互冲突的条款，应以最新签署的为准。</w:t>
      </w:r>
    </w:p>
    <w:p w14:paraId="254E900A">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color w:val="auto"/>
          <w:kern w:val="0"/>
          <w:sz w:val="24"/>
          <w:highlight w:val="none"/>
        </w:rPr>
      </w:pPr>
      <w:r>
        <w:rPr>
          <w:rFonts w:ascii="Times New Roman" w:hAnsi="Times New Roman"/>
          <w:color w:val="auto"/>
          <w:kern w:val="0"/>
          <w:sz w:val="24"/>
          <w:highlight w:val="none"/>
        </w:rPr>
        <w:t>4、本合同未尽事宜，遵照《中华人民共和国民法典》有关条文执行。</w:t>
      </w:r>
    </w:p>
    <w:p w14:paraId="37529111">
      <w:pPr>
        <w:keepNext w:val="0"/>
        <w:keepLines w:val="0"/>
        <w:pageBreakBefore w:val="0"/>
        <w:widowControl/>
        <w:kinsoku/>
        <w:wordWrap/>
        <w:overflowPunct w:val="0"/>
        <w:topLinePunct w:val="0"/>
        <w:autoSpaceDE w:val="0"/>
        <w:autoSpaceDN w:val="0"/>
        <w:bidi w:val="0"/>
        <w:adjustRightInd/>
        <w:snapToGrid w:val="0"/>
        <w:spacing w:line="360" w:lineRule="auto"/>
        <w:ind w:firstLine="480" w:firstLineChars="200"/>
        <w:jc w:val="left"/>
        <w:textAlignment w:val="baseline"/>
        <w:rPr>
          <w:rFonts w:ascii="Times New Roman" w:hAnsi="Times New Roman"/>
          <w:bCs/>
          <w:color w:val="auto"/>
          <w:kern w:val="0"/>
          <w:sz w:val="24"/>
          <w:highlight w:val="none"/>
        </w:rPr>
      </w:pPr>
      <w:r>
        <w:rPr>
          <w:rFonts w:ascii="Times New Roman" w:hAnsi="Times New Roman"/>
          <w:bCs/>
          <w:color w:val="auto"/>
          <w:kern w:val="0"/>
          <w:sz w:val="24"/>
          <w:highlight w:val="none"/>
        </w:rPr>
        <w:t>5、本合同正本一式</w:t>
      </w:r>
      <w:r>
        <w:rPr>
          <w:rFonts w:hint="eastAsia" w:ascii="Times New Roman" w:hAnsi="Times New Roman"/>
          <w:bCs/>
          <w:color w:val="auto"/>
          <w:kern w:val="0"/>
          <w:sz w:val="24"/>
          <w:highlight w:val="none"/>
          <w:lang w:val="en-US" w:eastAsia="zh-CN"/>
        </w:rPr>
        <w:t>柒</w:t>
      </w:r>
      <w:r>
        <w:rPr>
          <w:rFonts w:ascii="Times New Roman" w:hAnsi="Times New Roman"/>
          <w:bCs/>
          <w:color w:val="auto"/>
          <w:kern w:val="0"/>
          <w:sz w:val="24"/>
          <w:highlight w:val="none"/>
        </w:rPr>
        <w:t>份，具有同等法律效力，甲方执肆份，乙方</w:t>
      </w:r>
      <w:r>
        <w:rPr>
          <w:rFonts w:hint="eastAsia" w:ascii="Times New Roman" w:hAnsi="Times New Roman"/>
          <w:bCs/>
          <w:color w:val="auto"/>
          <w:kern w:val="0"/>
          <w:sz w:val="24"/>
          <w:highlight w:val="none"/>
          <w:lang w:eastAsia="zh-CN"/>
        </w:rPr>
        <w:t>、</w:t>
      </w:r>
      <w:r>
        <w:rPr>
          <w:rFonts w:ascii="Times New Roman" w:hAnsi="Times New Roman"/>
          <w:bCs/>
          <w:color w:val="auto"/>
          <w:kern w:val="0"/>
          <w:sz w:val="24"/>
          <w:highlight w:val="none"/>
        </w:rPr>
        <w:t>代理公司</w:t>
      </w:r>
      <w:r>
        <w:rPr>
          <w:rFonts w:hint="eastAsia" w:ascii="Times New Roman" w:hAnsi="Times New Roman"/>
          <w:bCs/>
          <w:color w:val="auto"/>
          <w:kern w:val="0"/>
          <w:sz w:val="24"/>
          <w:highlight w:val="none"/>
          <w:lang w:eastAsia="zh-CN"/>
        </w:rPr>
        <w:t>、</w:t>
      </w:r>
      <w:r>
        <w:rPr>
          <w:rFonts w:hint="eastAsia" w:ascii="Times New Roman" w:hAnsi="Times New Roman"/>
          <w:bCs/>
          <w:color w:val="auto"/>
          <w:kern w:val="0"/>
          <w:sz w:val="24"/>
          <w:highlight w:val="none"/>
        </w:rPr>
        <w:t>张家港市政府采购管理中心</w:t>
      </w:r>
      <w:r>
        <w:rPr>
          <w:rFonts w:ascii="Times New Roman" w:hAnsi="Times New Roman"/>
          <w:bCs/>
          <w:color w:val="auto"/>
          <w:kern w:val="0"/>
          <w:sz w:val="24"/>
          <w:highlight w:val="none"/>
        </w:rPr>
        <w:t>各执壹份</w:t>
      </w:r>
      <w:r>
        <w:rPr>
          <w:rFonts w:hint="eastAsia" w:ascii="Times New Roman" w:hAnsi="Times New Roman"/>
          <w:bCs/>
          <w:color w:val="auto"/>
          <w:kern w:val="0"/>
          <w:sz w:val="24"/>
          <w:highlight w:val="none"/>
        </w:rPr>
        <w:t>，</w:t>
      </w:r>
      <w:r>
        <w:rPr>
          <w:rFonts w:ascii="Times New Roman" w:hAnsi="Times New Roman"/>
          <w:bCs/>
          <w:color w:val="auto"/>
          <w:kern w:val="0"/>
          <w:sz w:val="24"/>
          <w:highlight w:val="none"/>
        </w:rPr>
        <w:t>每份具有同等法律效力。</w:t>
      </w:r>
    </w:p>
    <w:p w14:paraId="3604C5B7">
      <w:pPr>
        <w:pStyle w:val="2"/>
        <w:rPr>
          <w:color w:val="auto"/>
          <w:highlight w:val="none"/>
        </w:rPr>
      </w:pPr>
    </w:p>
    <w:p w14:paraId="43B62C3F">
      <w:pPr>
        <w:spacing w:line="300" w:lineRule="auto"/>
        <w:ind w:firstLine="480" w:firstLineChars="200"/>
        <w:rPr>
          <w:rFonts w:ascii="Times New Roman" w:hAnsi="Times New Roman"/>
          <w:color w:val="auto"/>
          <w:sz w:val="24"/>
          <w:highlight w:val="none"/>
        </w:rPr>
      </w:pPr>
      <w:r>
        <w:rPr>
          <w:rFonts w:ascii="Times New Roman" w:hAnsi="Times New Roman"/>
          <w:color w:val="auto"/>
          <w:sz w:val="24"/>
          <w:highlight w:val="none"/>
        </w:rPr>
        <w:t>本地合同签署地为：苏州市张家港市</w:t>
      </w:r>
    </w:p>
    <w:p w14:paraId="0A999F28">
      <w:pPr>
        <w:rPr>
          <w:rFonts w:ascii="Times New Roman" w:hAnsi="Times New Roman"/>
          <w:color w:val="auto"/>
          <w:highlight w:val="none"/>
        </w:rPr>
      </w:pPr>
    </w:p>
    <w:tbl>
      <w:tblPr>
        <w:tblStyle w:val="19"/>
        <w:tblpPr w:leftFromText="180" w:rightFromText="180" w:vertAnchor="text" w:horzAnchor="page" w:tblpX="1405" w:tblpY="130"/>
        <w:tblOverlap w:val="never"/>
        <w:tblW w:w="9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04"/>
        <w:gridCol w:w="2814"/>
        <w:gridCol w:w="1865"/>
        <w:gridCol w:w="2975"/>
      </w:tblGrid>
      <w:tr w14:paraId="5832F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804" w:type="dxa"/>
            <w:vAlign w:val="top"/>
          </w:tcPr>
          <w:p w14:paraId="11D0E861">
            <w:pPr>
              <w:spacing w:line="300" w:lineRule="auto"/>
              <w:rPr>
                <w:rFonts w:ascii="Times New Roman" w:hAnsi="Times New Roman"/>
                <w:bCs/>
                <w:color w:val="auto"/>
                <w:sz w:val="24"/>
                <w:highlight w:val="none"/>
              </w:rPr>
            </w:pPr>
            <w:r>
              <w:rPr>
                <w:rFonts w:ascii="Times New Roman" w:hAnsi="Times New Roman"/>
                <w:bCs/>
                <w:color w:val="auto"/>
                <w:sz w:val="24"/>
                <w:highlight w:val="none"/>
              </w:rPr>
              <w:t>甲方(公章)：</w:t>
            </w:r>
          </w:p>
        </w:tc>
        <w:tc>
          <w:tcPr>
            <w:tcW w:w="2814" w:type="dxa"/>
            <w:vAlign w:val="top"/>
          </w:tcPr>
          <w:p w14:paraId="31CC7D04">
            <w:pPr>
              <w:spacing w:line="300" w:lineRule="auto"/>
              <w:rPr>
                <w:rFonts w:ascii="Times New Roman" w:hAnsi="Times New Roman"/>
                <w:bCs/>
                <w:color w:val="auto"/>
                <w:sz w:val="24"/>
                <w:highlight w:val="none"/>
              </w:rPr>
            </w:pPr>
            <w:bookmarkStart w:id="203" w:name="EBbc079446c97c4bf0a786ca5e0d8bfe0d"/>
            <w:bookmarkEnd w:id="203"/>
            <w:r>
              <w:rPr>
                <w:rFonts w:hint="eastAsia" w:ascii="Times New Roman" w:hAnsi="Times New Roman"/>
                <w:bCs/>
                <w:color w:val="auto"/>
                <w:sz w:val="24"/>
                <w:highlight w:val="none"/>
              </w:rPr>
              <w:t>张家港市第一人民医院</w:t>
            </w:r>
          </w:p>
        </w:tc>
        <w:tc>
          <w:tcPr>
            <w:tcW w:w="1865" w:type="dxa"/>
            <w:vAlign w:val="top"/>
          </w:tcPr>
          <w:p w14:paraId="11E137BF">
            <w:pPr>
              <w:spacing w:line="300" w:lineRule="auto"/>
              <w:rPr>
                <w:rFonts w:ascii="Times New Roman" w:hAnsi="Times New Roman"/>
                <w:bCs/>
                <w:color w:val="auto"/>
                <w:sz w:val="24"/>
                <w:highlight w:val="none"/>
              </w:rPr>
            </w:pPr>
            <w:r>
              <w:rPr>
                <w:rFonts w:ascii="Times New Roman" w:hAnsi="Times New Roman"/>
                <w:bCs/>
                <w:color w:val="auto"/>
                <w:sz w:val="24"/>
                <w:highlight w:val="none"/>
              </w:rPr>
              <w:t>乙方(公章)：</w:t>
            </w:r>
          </w:p>
        </w:tc>
        <w:tc>
          <w:tcPr>
            <w:tcW w:w="2975" w:type="dxa"/>
            <w:vAlign w:val="top"/>
          </w:tcPr>
          <w:p w14:paraId="37300E14">
            <w:pPr>
              <w:spacing w:line="300" w:lineRule="auto"/>
              <w:rPr>
                <w:rFonts w:ascii="Times New Roman" w:hAnsi="Times New Roman"/>
                <w:color w:val="auto"/>
                <w:sz w:val="24"/>
                <w:highlight w:val="none"/>
              </w:rPr>
            </w:pPr>
            <w:bookmarkStart w:id="204" w:name="EBb775f2e29c794e2492c1e47de590d6c0"/>
          </w:p>
          <w:bookmarkEnd w:id="204"/>
        </w:tc>
      </w:tr>
      <w:tr w14:paraId="72727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1" w:hRule="atLeast"/>
        </w:trPr>
        <w:tc>
          <w:tcPr>
            <w:tcW w:w="1804" w:type="dxa"/>
            <w:vAlign w:val="top"/>
          </w:tcPr>
          <w:p w14:paraId="58CE2AFD">
            <w:pPr>
              <w:spacing w:line="300" w:lineRule="auto"/>
              <w:rPr>
                <w:rFonts w:ascii="Times New Roman" w:hAnsi="Times New Roman"/>
                <w:bCs/>
                <w:color w:val="auto"/>
                <w:sz w:val="24"/>
                <w:highlight w:val="none"/>
              </w:rPr>
            </w:pPr>
            <w:r>
              <w:rPr>
                <w:rFonts w:ascii="Times New Roman" w:hAnsi="Times New Roman"/>
                <w:bCs/>
                <w:color w:val="auto"/>
                <w:sz w:val="24"/>
                <w:highlight w:val="none"/>
              </w:rPr>
              <w:t>法定代表人：（签字）</w:t>
            </w:r>
          </w:p>
        </w:tc>
        <w:tc>
          <w:tcPr>
            <w:tcW w:w="2814" w:type="dxa"/>
            <w:vAlign w:val="top"/>
          </w:tcPr>
          <w:p w14:paraId="3F938648">
            <w:pPr>
              <w:spacing w:line="300" w:lineRule="auto"/>
              <w:rPr>
                <w:rFonts w:ascii="Times New Roman" w:hAnsi="Times New Roman"/>
                <w:bCs/>
                <w:color w:val="auto"/>
                <w:sz w:val="24"/>
                <w:highlight w:val="none"/>
              </w:rPr>
            </w:pPr>
            <w:bookmarkStart w:id="205" w:name="EB48c7d90b908c4643ba74c7a3e0f47880"/>
            <w:bookmarkEnd w:id="205"/>
          </w:p>
        </w:tc>
        <w:tc>
          <w:tcPr>
            <w:tcW w:w="1865" w:type="dxa"/>
            <w:vAlign w:val="top"/>
          </w:tcPr>
          <w:p w14:paraId="31E092E4">
            <w:pPr>
              <w:spacing w:line="300" w:lineRule="auto"/>
              <w:rPr>
                <w:rFonts w:ascii="Times New Roman" w:hAnsi="Times New Roman"/>
                <w:bCs/>
                <w:color w:val="auto"/>
                <w:sz w:val="24"/>
                <w:highlight w:val="none"/>
              </w:rPr>
            </w:pPr>
            <w:r>
              <w:rPr>
                <w:rFonts w:ascii="Times New Roman" w:hAnsi="Times New Roman"/>
                <w:bCs/>
                <w:color w:val="auto"/>
                <w:sz w:val="24"/>
                <w:highlight w:val="none"/>
              </w:rPr>
              <w:t>法定代表人：</w:t>
            </w:r>
          </w:p>
          <w:p w14:paraId="2EDC4967">
            <w:pPr>
              <w:spacing w:line="300" w:lineRule="auto"/>
              <w:rPr>
                <w:rFonts w:ascii="Times New Roman" w:hAnsi="Times New Roman"/>
                <w:bCs/>
                <w:color w:val="auto"/>
                <w:sz w:val="24"/>
                <w:highlight w:val="none"/>
              </w:rPr>
            </w:pPr>
            <w:r>
              <w:rPr>
                <w:rFonts w:ascii="Times New Roman" w:hAnsi="Times New Roman"/>
                <w:bCs/>
                <w:color w:val="auto"/>
                <w:sz w:val="24"/>
                <w:highlight w:val="none"/>
              </w:rPr>
              <w:t>（签字）</w:t>
            </w:r>
          </w:p>
        </w:tc>
        <w:tc>
          <w:tcPr>
            <w:tcW w:w="2975" w:type="dxa"/>
            <w:vAlign w:val="top"/>
          </w:tcPr>
          <w:p w14:paraId="784FDBC9">
            <w:pPr>
              <w:spacing w:line="300" w:lineRule="auto"/>
              <w:rPr>
                <w:rFonts w:ascii="Times New Roman" w:hAnsi="Times New Roman"/>
                <w:bCs/>
                <w:color w:val="auto"/>
                <w:sz w:val="24"/>
                <w:highlight w:val="none"/>
              </w:rPr>
            </w:pPr>
            <w:bookmarkStart w:id="206" w:name="EBc1f624df04044e6eac47e0765b946017"/>
          </w:p>
          <w:bookmarkEnd w:id="206"/>
        </w:tc>
      </w:tr>
      <w:tr w14:paraId="1195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trPr>
        <w:tc>
          <w:tcPr>
            <w:tcW w:w="1804" w:type="dxa"/>
            <w:vAlign w:val="top"/>
          </w:tcPr>
          <w:p w14:paraId="733EFB5A">
            <w:pPr>
              <w:spacing w:line="300" w:lineRule="auto"/>
              <w:rPr>
                <w:rFonts w:ascii="Times New Roman" w:hAnsi="Times New Roman"/>
                <w:bCs/>
                <w:color w:val="auto"/>
                <w:sz w:val="24"/>
                <w:highlight w:val="none"/>
              </w:rPr>
            </w:pPr>
            <w:r>
              <w:rPr>
                <w:rFonts w:ascii="Times New Roman" w:hAnsi="Times New Roman"/>
                <w:bCs/>
                <w:color w:val="auto"/>
                <w:sz w:val="24"/>
                <w:highlight w:val="none"/>
              </w:rPr>
              <w:t>委托代理人：</w:t>
            </w:r>
          </w:p>
          <w:p w14:paraId="2CC9C0B2">
            <w:pPr>
              <w:spacing w:line="300" w:lineRule="auto"/>
              <w:rPr>
                <w:rFonts w:ascii="Times New Roman" w:hAnsi="Times New Roman"/>
                <w:bCs/>
                <w:color w:val="auto"/>
                <w:sz w:val="24"/>
                <w:highlight w:val="none"/>
              </w:rPr>
            </w:pPr>
            <w:r>
              <w:rPr>
                <w:rFonts w:ascii="Times New Roman" w:hAnsi="Times New Roman"/>
                <w:bCs/>
                <w:color w:val="auto"/>
                <w:sz w:val="24"/>
                <w:highlight w:val="none"/>
              </w:rPr>
              <w:t>(签字）</w:t>
            </w:r>
          </w:p>
        </w:tc>
        <w:tc>
          <w:tcPr>
            <w:tcW w:w="2814" w:type="dxa"/>
            <w:vAlign w:val="top"/>
          </w:tcPr>
          <w:p w14:paraId="3F2350BD">
            <w:pPr>
              <w:spacing w:line="300" w:lineRule="auto"/>
              <w:rPr>
                <w:rFonts w:ascii="Times New Roman" w:hAnsi="Times New Roman"/>
                <w:bCs/>
                <w:color w:val="auto"/>
                <w:sz w:val="24"/>
                <w:highlight w:val="none"/>
              </w:rPr>
            </w:pPr>
          </w:p>
        </w:tc>
        <w:tc>
          <w:tcPr>
            <w:tcW w:w="1865" w:type="dxa"/>
            <w:vAlign w:val="top"/>
          </w:tcPr>
          <w:p w14:paraId="1CE24663">
            <w:pPr>
              <w:spacing w:line="300" w:lineRule="auto"/>
              <w:rPr>
                <w:rFonts w:ascii="Times New Roman" w:hAnsi="Times New Roman"/>
                <w:bCs/>
                <w:color w:val="auto"/>
                <w:sz w:val="24"/>
                <w:highlight w:val="none"/>
              </w:rPr>
            </w:pPr>
            <w:r>
              <w:rPr>
                <w:rFonts w:ascii="Times New Roman" w:hAnsi="Times New Roman"/>
                <w:bCs/>
                <w:color w:val="auto"/>
                <w:sz w:val="24"/>
                <w:highlight w:val="none"/>
              </w:rPr>
              <w:t>委托代理人：</w:t>
            </w:r>
          </w:p>
          <w:p w14:paraId="2BDD3D73">
            <w:pPr>
              <w:spacing w:line="300" w:lineRule="auto"/>
              <w:rPr>
                <w:rFonts w:ascii="Times New Roman" w:hAnsi="Times New Roman"/>
                <w:bCs/>
                <w:color w:val="auto"/>
                <w:sz w:val="24"/>
                <w:highlight w:val="none"/>
              </w:rPr>
            </w:pPr>
            <w:r>
              <w:rPr>
                <w:rFonts w:ascii="Times New Roman" w:hAnsi="Times New Roman"/>
                <w:bCs/>
                <w:color w:val="auto"/>
                <w:sz w:val="24"/>
                <w:highlight w:val="none"/>
              </w:rPr>
              <w:t>(签字)</w:t>
            </w:r>
          </w:p>
        </w:tc>
        <w:tc>
          <w:tcPr>
            <w:tcW w:w="2975" w:type="dxa"/>
            <w:vAlign w:val="top"/>
          </w:tcPr>
          <w:p w14:paraId="545AC8E5">
            <w:pPr>
              <w:spacing w:line="300" w:lineRule="auto"/>
              <w:rPr>
                <w:rFonts w:ascii="Times New Roman" w:hAnsi="Times New Roman"/>
                <w:bCs/>
                <w:color w:val="auto"/>
                <w:sz w:val="24"/>
                <w:highlight w:val="none"/>
              </w:rPr>
            </w:pPr>
          </w:p>
        </w:tc>
      </w:tr>
      <w:tr w14:paraId="4CC8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1804" w:type="dxa"/>
            <w:vAlign w:val="top"/>
          </w:tcPr>
          <w:p w14:paraId="2CBD31B1">
            <w:pPr>
              <w:spacing w:line="300" w:lineRule="auto"/>
              <w:jc w:val="left"/>
              <w:rPr>
                <w:rFonts w:ascii="Times New Roman" w:hAnsi="Times New Roman"/>
                <w:bCs/>
                <w:color w:val="auto"/>
                <w:sz w:val="24"/>
                <w:highlight w:val="none"/>
              </w:rPr>
            </w:pPr>
            <w:r>
              <w:rPr>
                <w:rFonts w:ascii="Times New Roman" w:hAnsi="Times New Roman"/>
                <w:bCs/>
                <w:color w:val="auto"/>
                <w:sz w:val="24"/>
                <w:highlight w:val="none"/>
              </w:rPr>
              <w:t>组织机构代码：</w:t>
            </w:r>
          </w:p>
        </w:tc>
        <w:tc>
          <w:tcPr>
            <w:tcW w:w="2814" w:type="dxa"/>
            <w:vAlign w:val="top"/>
          </w:tcPr>
          <w:p w14:paraId="64D9BDD3">
            <w:pPr>
              <w:spacing w:line="300" w:lineRule="auto"/>
              <w:rPr>
                <w:rFonts w:ascii="Times New Roman" w:hAnsi="Times New Roman"/>
                <w:bCs/>
                <w:color w:val="auto"/>
                <w:sz w:val="24"/>
                <w:highlight w:val="none"/>
              </w:rPr>
            </w:pPr>
            <w:bookmarkStart w:id="207" w:name="EBf27bdadf736246b1b3f3eecb89fc1837"/>
            <w:bookmarkEnd w:id="207"/>
            <w:r>
              <w:rPr>
                <w:rFonts w:ascii="Times New Roman" w:hAnsi="Times New Roman"/>
                <w:bCs/>
                <w:color w:val="auto"/>
                <w:sz w:val="24"/>
                <w:highlight w:val="none"/>
              </w:rPr>
              <w:t>123205824672232759</w:t>
            </w:r>
          </w:p>
        </w:tc>
        <w:tc>
          <w:tcPr>
            <w:tcW w:w="1865" w:type="dxa"/>
            <w:vAlign w:val="top"/>
          </w:tcPr>
          <w:p w14:paraId="17BE174B">
            <w:pPr>
              <w:spacing w:line="300" w:lineRule="auto"/>
              <w:jc w:val="left"/>
              <w:rPr>
                <w:rFonts w:ascii="Times New Roman" w:hAnsi="Times New Roman"/>
                <w:bCs/>
                <w:color w:val="auto"/>
                <w:sz w:val="24"/>
                <w:highlight w:val="none"/>
              </w:rPr>
            </w:pPr>
            <w:r>
              <w:rPr>
                <w:rFonts w:ascii="Times New Roman" w:hAnsi="Times New Roman"/>
                <w:bCs/>
                <w:color w:val="auto"/>
                <w:sz w:val="24"/>
                <w:highlight w:val="none"/>
              </w:rPr>
              <w:t>组织机构</w:t>
            </w:r>
            <w:r>
              <w:rPr>
                <w:rFonts w:hint="eastAsia" w:ascii="Times New Roman" w:hAnsi="Times New Roman"/>
                <w:bCs/>
                <w:color w:val="auto"/>
                <w:sz w:val="24"/>
                <w:highlight w:val="none"/>
                <w:lang w:val="en-US" w:eastAsia="zh-CN"/>
              </w:rPr>
              <w:t>代</w:t>
            </w:r>
            <w:r>
              <w:rPr>
                <w:rFonts w:ascii="Times New Roman" w:hAnsi="Times New Roman"/>
                <w:bCs/>
                <w:color w:val="auto"/>
                <w:sz w:val="24"/>
                <w:highlight w:val="none"/>
              </w:rPr>
              <w:t>码：</w:t>
            </w:r>
          </w:p>
        </w:tc>
        <w:tc>
          <w:tcPr>
            <w:tcW w:w="2975" w:type="dxa"/>
            <w:vAlign w:val="top"/>
          </w:tcPr>
          <w:p w14:paraId="01D9EEA2">
            <w:pPr>
              <w:bidi w:val="0"/>
              <w:jc w:val="left"/>
              <w:rPr>
                <w:rFonts w:ascii="Times New Roman" w:hAnsi="Times New Roman" w:eastAsia="宋体" w:cs="Times New Roman"/>
                <w:color w:val="auto"/>
                <w:kern w:val="2"/>
                <w:sz w:val="21"/>
                <w:szCs w:val="24"/>
                <w:highlight w:val="none"/>
                <w:lang w:val="en-US" w:eastAsia="zh-CN" w:bidi="ar-SA"/>
              </w:rPr>
            </w:pPr>
            <w:bookmarkStart w:id="208" w:name="EBb70931743c23447fbed316c3b02cc534"/>
          </w:p>
          <w:bookmarkEnd w:id="208"/>
        </w:tc>
      </w:tr>
      <w:tr w14:paraId="5404F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1" w:hRule="atLeast"/>
        </w:trPr>
        <w:tc>
          <w:tcPr>
            <w:tcW w:w="1804" w:type="dxa"/>
            <w:vAlign w:val="top"/>
          </w:tcPr>
          <w:p w14:paraId="1F7E78D3">
            <w:pPr>
              <w:spacing w:line="300" w:lineRule="auto"/>
              <w:rPr>
                <w:rFonts w:ascii="Times New Roman" w:hAnsi="Times New Roman"/>
                <w:bCs/>
                <w:color w:val="auto"/>
                <w:sz w:val="24"/>
                <w:highlight w:val="none"/>
              </w:rPr>
            </w:pPr>
            <w:r>
              <w:rPr>
                <w:rFonts w:ascii="Times New Roman" w:hAnsi="Times New Roman"/>
                <w:bCs/>
                <w:color w:val="auto"/>
                <w:sz w:val="24"/>
                <w:highlight w:val="none"/>
              </w:rPr>
              <w:t>地址：</w:t>
            </w:r>
          </w:p>
        </w:tc>
        <w:tc>
          <w:tcPr>
            <w:tcW w:w="2814" w:type="dxa"/>
            <w:vAlign w:val="top"/>
          </w:tcPr>
          <w:p w14:paraId="0D480466">
            <w:pPr>
              <w:spacing w:line="300" w:lineRule="auto"/>
              <w:rPr>
                <w:rFonts w:ascii="Times New Roman" w:hAnsi="Times New Roman"/>
                <w:bCs/>
                <w:color w:val="auto"/>
                <w:sz w:val="24"/>
                <w:highlight w:val="none"/>
              </w:rPr>
            </w:pPr>
            <w:bookmarkStart w:id="209" w:name="EBee6cb94c60094a6abdf92857f3f2df28"/>
            <w:bookmarkEnd w:id="209"/>
            <w:r>
              <w:rPr>
                <w:rFonts w:ascii="Times New Roman" w:hAnsi="Times New Roman"/>
                <w:bCs/>
                <w:color w:val="auto"/>
                <w:sz w:val="24"/>
                <w:highlight w:val="none"/>
              </w:rPr>
              <w:t>张家港市暨阳西路68号</w:t>
            </w:r>
          </w:p>
        </w:tc>
        <w:tc>
          <w:tcPr>
            <w:tcW w:w="1865" w:type="dxa"/>
            <w:vAlign w:val="top"/>
          </w:tcPr>
          <w:p w14:paraId="726D876C">
            <w:pPr>
              <w:spacing w:line="300" w:lineRule="auto"/>
              <w:rPr>
                <w:rFonts w:ascii="Times New Roman" w:hAnsi="Times New Roman"/>
                <w:bCs/>
                <w:color w:val="auto"/>
                <w:sz w:val="24"/>
                <w:highlight w:val="none"/>
              </w:rPr>
            </w:pPr>
            <w:r>
              <w:rPr>
                <w:rFonts w:ascii="Times New Roman" w:hAnsi="Times New Roman"/>
                <w:bCs/>
                <w:color w:val="auto"/>
                <w:sz w:val="24"/>
                <w:highlight w:val="none"/>
              </w:rPr>
              <w:t>地址：</w:t>
            </w:r>
          </w:p>
        </w:tc>
        <w:tc>
          <w:tcPr>
            <w:tcW w:w="2975" w:type="dxa"/>
            <w:vAlign w:val="top"/>
          </w:tcPr>
          <w:p w14:paraId="184EFCDE">
            <w:pPr>
              <w:spacing w:line="300" w:lineRule="auto"/>
              <w:rPr>
                <w:rFonts w:ascii="Times New Roman" w:hAnsi="Times New Roman"/>
                <w:bCs/>
                <w:color w:val="auto"/>
                <w:sz w:val="24"/>
                <w:highlight w:val="none"/>
              </w:rPr>
            </w:pPr>
            <w:bookmarkStart w:id="210" w:name="EB97c2473190b842dcb7d04fbe799559a3"/>
          </w:p>
          <w:bookmarkEnd w:id="210"/>
        </w:tc>
      </w:tr>
      <w:tr w14:paraId="2F58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1804" w:type="dxa"/>
            <w:vAlign w:val="top"/>
          </w:tcPr>
          <w:p w14:paraId="1805E999">
            <w:pPr>
              <w:spacing w:line="300" w:lineRule="auto"/>
              <w:rPr>
                <w:rFonts w:ascii="Times New Roman" w:hAnsi="Times New Roman"/>
                <w:bCs/>
                <w:color w:val="auto"/>
                <w:sz w:val="24"/>
                <w:highlight w:val="none"/>
              </w:rPr>
            </w:pPr>
            <w:r>
              <w:rPr>
                <w:rFonts w:ascii="Times New Roman" w:hAnsi="Times New Roman"/>
                <w:bCs/>
                <w:color w:val="auto"/>
                <w:sz w:val="24"/>
                <w:highlight w:val="none"/>
              </w:rPr>
              <w:t>邮政编码：</w:t>
            </w:r>
          </w:p>
        </w:tc>
        <w:tc>
          <w:tcPr>
            <w:tcW w:w="2814" w:type="dxa"/>
            <w:vAlign w:val="top"/>
          </w:tcPr>
          <w:p w14:paraId="46B46D55">
            <w:pPr>
              <w:spacing w:line="300" w:lineRule="auto"/>
              <w:rPr>
                <w:rFonts w:ascii="Times New Roman" w:hAnsi="Times New Roman"/>
                <w:bCs/>
                <w:color w:val="auto"/>
                <w:sz w:val="24"/>
                <w:highlight w:val="none"/>
              </w:rPr>
            </w:pPr>
            <w:bookmarkStart w:id="211" w:name="EB5dda9293b78345699fbbeaded64d82c2"/>
            <w:bookmarkEnd w:id="211"/>
            <w:r>
              <w:rPr>
                <w:rFonts w:ascii="Times New Roman" w:hAnsi="Times New Roman"/>
                <w:bCs/>
                <w:color w:val="auto"/>
                <w:sz w:val="24"/>
                <w:highlight w:val="none"/>
              </w:rPr>
              <w:t>215600</w:t>
            </w:r>
          </w:p>
        </w:tc>
        <w:tc>
          <w:tcPr>
            <w:tcW w:w="1865" w:type="dxa"/>
            <w:vAlign w:val="top"/>
          </w:tcPr>
          <w:p w14:paraId="3EAC4504">
            <w:pPr>
              <w:spacing w:line="300" w:lineRule="auto"/>
              <w:rPr>
                <w:rFonts w:ascii="Times New Roman" w:hAnsi="Times New Roman"/>
                <w:bCs/>
                <w:color w:val="auto"/>
                <w:sz w:val="24"/>
                <w:highlight w:val="none"/>
              </w:rPr>
            </w:pPr>
            <w:r>
              <w:rPr>
                <w:rFonts w:ascii="Times New Roman" w:hAnsi="Times New Roman"/>
                <w:bCs/>
                <w:color w:val="auto"/>
                <w:sz w:val="24"/>
                <w:highlight w:val="none"/>
              </w:rPr>
              <w:t>邮政编码：</w:t>
            </w:r>
          </w:p>
        </w:tc>
        <w:tc>
          <w:tcPr>
            <w:tcW w:w="2975" w:type="dxa"/>
            <w:vAlign w:val="top"/>
          </w:tcPr>
          <w:p w14:paraId="78952779">
            <w:pPr>
              <w:spacing w:line="300" w:lineRule="auto"/>
              <w:rPr>
                <w:rFonts w:hint="default" w:ascii="Times New Roman" w:hAnsi="Times New Roman" w:eastAsia="宋体"/>
                <w:bCs/>
                <w:color w:val="auto"/>
                <w:sz w:val="24"/>
                <w:highlight w:val="none"/>
                <w:lang w:val="en-US" w:eastAsia="zh-CN"/>
              </w:rPr>
            </w:pPr>
            <w:bookmarkStart w:id="212" w:name="EB1dbb0bf4342e4bf3ac2d1ead4fa12268"/>
          </w:p>
          <w:bookmarkEnd w:id="212"/>
        </w:tc>
      </w:tr>
      <w:tr w14:paraId="7D7F5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rPr>
        <w:tc>
          <w:tcPr>
            <w:tcW w:w="1804" w:type="dxa"/>
            <w:vAlign w:val="top"/>
          </w:tcPr>
          <w:p w14:paraId="71862725">
            <w:pPr>
              <w:spacing w:line="300" w:lineRule="auto"/>
              <w:rPr>
                <w:rFonts w:ascii="Times New Roman" w:hAnsi="Times New Roman"/>
                <w:bCs/>
                <w:color w:val="auto"/>
                <w:sz w:val="24"/>
                <w:highlight w:val="none"/>
              </w:rPr>
            </w:pPr>
            <w:r>
              <w:rPr>
                <w:rFonts w:ascii="Times New Roman" w:hAnsi="Times New Roman"/>
                <w:bCs/>
                <w:color w:val="auto"/>
                <w:sz w:val="24"/>
                <w:highlight w:val="none"/>
              </w:rPr>
              <w:t>开户银行：</w:t>
            </w:r>
          </w:p>
        </w:tc>
        <w:tc>
          <w:tcPr>
            <w:tcW w:w="2814" w:type="dxa"/>
            <w:vAlign w:val="top"/>
          </w:tcPr>
          <w:p w14:paraId="63E14EBB">
            <w:pPr>
              <w:spacing w:line="300" w:lineRule="auto"/>
              <w:rPr>
                <w:rFonts w:ascii="Times New Roman" w:hAnsi="Times New Roman"/>
                <w:bCs/>
                <w:color w:val="auto"/>
                <w:sz w:val="24"/>
                <w:highlight w:val="none"/>
              </w:rPr>
            </w:pPr>
            <w:r>
              <w:rPr>
                <w:rFonts w:ascii="Times New Roman" w:hAnsi="Times New Roman"/>
                <w:bCs/>
                <w:color w:val="auto"/>
                <w:sz w:val="24"/>
                <w:highlight w:val="none"/>
              </w:rPr>
              <w:t>工商银行苏州分行张家港市支行</w:t>
            </w:r>
          </w:p>
        </w:tc>
        <w:tc>
          <w:tcPr>
            <w:tcW w:w="1865" w:type="dxa"/>
            <w:vAlign w:val="top"/>
          </w:tcPr>
          <w:p w14:paraId="28D41A71">
            <w:pPr>
              <w:spacing w:line="300" w:lineRule="auto"/>
              <w:rPr>
                <w:rFonts w:ascii="Times New Roman" w:hAnsi="Times New Roman"/>
                <w:bCs/>
                <w:color w:val="auto"/>
                <w:sz w:val="24"/>
                <w:highlight w:val="none"/>
              </w:rPr>
            </w:pPr>
            <w:r>
              <w:rPr>
                <w:rFonts w:ascii="Times New Roman" w:hAnsi="Times New Roman"/>
                <w:bCs/>
                <w:color w:val="auto"/>
                <w:sz w:val="24"/>
                <w:highlight w:val="none"/>
              </w:rPr>
              <w:t>开户银行：</w:t>
            </w:r>
          </w:p>
        </w:tc>
        <w:tc>
          <w:tcPr>
            <w:tcW w:w="2975" w:type="dxa"/>
            <w:vAlign w:val="top"/>
          </w:tcPr>
          <w:p w14:paraId="112827A1">
            <w:pPr>
              <w:spacing w:line="300" w:lineRule="auto"/>
              <w:rPr>
                <w:rFonts w:ascii="Times New Roman" w:hAnsi="Times New Roman"/>
                <w:bCs/>
                <w:color w:val="auto"/>
                <w:sz w:val="24"/>
                <w:highlight w:val="none"/>
              </w:rPr>
            </w:pPr>
          </w:p>
        </w:tc>
      </w:tr>
      <w:tr w14:paraId="61BBF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1804" w:type="dxa"/>
            <w:vAlign w:val="top"/>
          </w:tcPr>
          <w:p w14:paraId="582A729C">
            <w:pPr>
              <w:spacing w:line="300" w:lineRule="auto"/>
              <w:rPr>
                <w:rFonts w:ascii="Times New Roman" w:hAnsi="Times New Roman"/>
                <w:bCs/>
                <w:color w:val="auto"/>
                <w:sz w:val="24"/>
                <w:highlight w:val="none"/>
              </w:rPr>
            </w:pPr>
            <w:r>
              <w:rPr>
                <w:rFonts w:ascii="Times New Roman" w:hAnsi="Times New Roman"/>
                <w:bCs/>
                <w:color w:val="auto"/>
                <w:sz w:val="24"/>
                <w:highlight w:val="none"/>
              </w:rPr>
              <w:t>账号：</w:t>
            </w:r>
          </w:p>
        </w:tc>
        <w:tc>
          <w:tcPr>
            <w:tcW w:w="2814" w:type="dxa"/>
            <w:vAlign w:val="top"/>
          </w:tcPr>
          <w:p w14:paraId="65D2C005">
            <w:pPr>
              <w:spacing w:line="300" w:lineRule="auto"/>
              <w:rPr>
                <w:rFonts w:ascii="Times New Roman" w:hAnsi="Times New Roman"/>
                <w:bCs/>
                <w:color w:val="auto"/>
                <w:sz w:val="24"/>
                <w:highlight w:val="none"/>
              </w:rPr>
            </w:pPr>
            <w:r>
              <w:rPr>
                <w:rFonts w:ascii="Times New Roman" w:hAnsi="Times New Roman"/>
                <w:bCs/>
                <w:color w:val="auto"/>
                <w:sz w:val="24"/>
                <w:highlight w:val="none"/>
              </w:rPr>
              <w:t>1102027009000083629</w:t>
            </w:r>
          </w:p>
        </w:tc>
        <w:tc>
          <w:tcPr>
            <w:tcW w:w="1865" w:type="dxa"/>
            <w:vAlign w:val="top"/>
          </w:tcPr>
          <w:p w14:paraId="36DBFC86">
            <w:pPr>
              <w:spacing w:line="300" w:lineRule="auto"/>
              <w:rPr>
                <w:rFonts w:ascii="Times New Roman" w:hAnsi="Times New Roman"/>
                <w:bCs/>
                <w:color w:val="auto"/>
                <w:sz w:val="24"/>
                <w:highlight w:val="none"/>
              </w:rPr>
            </w:pPr>
            <w:r>
              <w:rPr>
                <w:rFonts w:ascii="Times New Roman" w:hAnsi="Times New Roman"/>
                <w:bCs/>
                <w:color w:val="auto"/>
                <w:sz w:val="24"/>
                <w:highlight w:val="none"/>
              </w:rPr>
              <w:t>账号：</w:t>
            </w:r>
          </w:p>
        </w:tc>
        <w:tc>
          <w:tcPr>
            <w:tcW w:w="2975" w:type="dxa"/>
            <w:vAlign w:val="top"/>
          </w:tcPr>
          <w:p w14:paraId="3BD238F2">
            <w:pPr>
              <w:spacing w:line="300" w:lineRule="auto"/>
              <w:rPr>
                <w:rFonts w:ascii="Times New Roman" w:hAnsi="Times New Roman"/>
                <w:bCs/>
                <w:color w:val="auto"/>
                <w:sz w:val="24"/>
                <w:highlight w:val="none"/>
              </w:rPr>
            </w:pPr>
          </w:p>
        </w:tc>
      </w:tr>
      <w:tr w14:paraId="4F708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7" w:hRule="atLeast"/>
        </w:trPr>
        <w:tc>
          <w:tcPr>
            <w:tcW w:w="1804" w:type="dxa"/>
            <w:vAlign w:val="top"/>
          </w:tcPr>
          <w:p w14:paraId="70427BBE">
            <w:pPr>
              <w:spacing w:line="300" w:lineRule="auto"/>
              <w:rPr>
                <w:rFonts w:ascii="Times New Roman" w:hAnsi="Times New Roman"/>
                <w:bCs/>
                <w:color w:val="auto"/>
                <w:sz w:val="24"/>
                <w:highlight w:val="none"/>
              </w:rPr>
            </w:pPr>
          </w:p>
        </w:tc>
        <w:tc>
          <w:tcPr>
            <w:tcW w:w="2814" w:type="dxa"/>
            <w:vAlign w:val="top"/>
          </w:tcPr>
          <w:p w14:paraId="47D85B17">
            <w:pPr>
              <w:spacing w:line="300" w:lineRule="auto"/>
              <w:rPr>
                <w:rFonts w:ascii="Times New Roman" w:hAnsi="Times New Roman"/>
                <w:bCs/>
                <w:color w:val="auto"/>
                <w:sz w:val="24"/>
                <w:highlight w:val="none"/>
              </w:rPr>
            </w:pPr>
          </w:p>
        </w:tc>
        <w:tc>
          <w:tcPr>
            <w:tcW w:w="1865" w:type="dxa"/>
            <w:vAlign w:val="top"/>
          </w:tcPr>
          <w:p w14:paraId="746561B0">
            <w:pPr>
              <w:spacing w:line="300" w:lineRule="auto"/>
              <w:rPr>
                <w:rFonts w:ascii="Times New Roman" w:hAnsi="Times New Roman"/>
                <w:bCs/>
                <w:color w:val="auto"/>
                <w:sz w:val="24"/>
                <w:highlight w:val="none"/>
              </w:rPr>
            </w:pPr>
          </w:p>
          <w:p w14:paraId="09C90F2A">
            <w:pPr>
              <w:spacing w:line="300" w:lineRule="auto"/>
              <w:rPr>
                <w:rFonts w:ascii="Times New Roman" w:hAnsi="Times New Roman"/>
                <w:bCs/>
                <w:color w:val="auto"/>
                <w:sz w:val="24"/>
                <w:highlight w:val="none"/>
              </w:rPr>
            </w:pPr>
            <w:r>
              <w:rPr>
                <w:rFonts w:ascii="Times New Roman" w:hAnsi="Times New Roman"/>
                <w:bCs/>
                <w:color w:val="auto"/>
                <w:sz w:val="24"/>
                <w:highlight w:val="none"/>
              </w:rPr>
              <w:t>日   期：</w:t>
            </w:r>
          </w:p>
        </w:tc>
        <w:tc>
          <w:tcPr>
            <w:tcW w:w="2975" w:type="dxa"/>
            <w:vAlign w:val="top"/>
          </w:tcPr>
          <w:p w14:paraId="10D2BA29">
            <w:pPr>
              <w:spacing w:line="300" w:lineRule="auto"/>
              <w:rPr>
                <w:rFonts w:ascii="Times New Roman" w:hAnsi="Times New Roman"/>
                <w:bCs/>
                <w:color w:val="auto"/>
                <w:sz w:val="24"/>
                <w:highlight w:val="none"/>
              </w:rPr>
            </w:pPr>
          </w:p>
        </w:tc>
      </w:tr>
      <w:tr w14:paraId="0FFF8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4618" w:type="dxa"/>
            <w:gridSpan w:val="2"/>
            <w:vAlign w:val="top"/>
          </w:tcPr>
          <w:p w14:paraId="36615DA0">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代理机构：</w:t>
            </w:r>
            <w:r>
              <w:rPr>
                <w:rFonts w:ascii="Times New Roman" w:hAnsi="Times New Roman" w:eastAsia="宋体" w:cs="Times New Roman"/>
                <w:color w:val="auto"/>
                <w:sz w:val="24"/>
                <w:highlight w:val="none"/>
                <w:lang w:eastAsia="zh-CN" w:bidi="ar-SA"/>
              </w:rPr>
              <w:t>苏州康新恩招投标有限公司</w:t>
            </w:r>
          </w:p>
          <w:p w14:paraId="2E34FD51">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地址：</w:t>
            </w:r>
            <w:r>
              <w:rPr>
                <w:rFonts w:ascii="Times New Roman" w:hAnsi="Times New Roman" w:eastAsia="宋体" w:cs="Times New Roman"/>
                <w:color w:val="auto"/>
                <w:sz w:val="24"/>
                <w:highlight w:val="none"/>
                <w:lang w:eastAsia="zh-CN" w:bidi="ar-SA"/>
              </w:rPr>
              <w:t>张家港市杨舍镇置地甲江南56幢20</w:t>
            </w:r>
            <w:r>
              <w:rPr>
                <w:rFonts w:ascii="Times New Roman" w:hAnsi="Times New Roman" w:eastAsia="宋体" w:cs="Times New Roman"/>
                <w:color w:val="auto"/>
                <w:sz w:val="24"/>
                <w:highlight w:val="none"/>
                <w:lang w:val="en-US" w:eastAsia="zh-CN" w:bidi="ar-SA"/>
              </w:rPr>
              <w:t>1</w:t>
            </w:r>
            <w:r>
              <w:rPr>
                <w:rFonts w:ascii="Times New Roman" w:hAnsi="Times New Roman" w:eastAsia="宋体" w:cs="Times New Roman"/>
                <w:color w:val="auto"/>
                <w:sz w:val="24"/>
                <w:highlight w:val="none"/>
                <w:lang w:eastAsia="zh-CN" w:bidi="ar-SA"/>
              </w:rPr>
              <w:t>室</w:t>
            </w:r>
          </w:p>
          <w:p w14:paraId="39592DD3">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法定代表人或</w:t>
            </w:r>
            <w:r>
              <w:rPr>
                <w:rFonts w:ascii="Times New Roman" w:hAnsi="Times New Roman" w:eastAsia="宋体" w:cs="Times New Roman"/>
                <w:color w:val="auto"/>
                <w:sz w:val="24"/>
                <w:szCs w:val="24"/>
                <w:highlight w:val="none"/>
              </w:rPr>
              <w:t>经办人：</w:t>
            </w:r>
          </w:p>
          <w:p w14:paraId="1B233570">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联系电话：</w:t>
            </w:r>
          </w:p>
          <w:p w14:paraId="0150ED72">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lang w:val="en-US" w:eastAsia="zh-CN"/>
              </w:rPr>
            </w:pPr>
          </w:p>
          <w:p w14:paraId="23A990D8">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lang w:val="en-US" w:eastAsia="zh-CN"/>
              </w:rPr>
            </w:pPr>
          </w:p>
          <w:p w14:paraId="3D5566ED">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备案方：张家港市政府采购管理中心</w:t>
            </w:r>
          </w:p>
          <w:p w14:paraId="54A3249F">
            <w:pPr>
              <w:keepNext w:val="0"/>
              <w:keepLines w:val="0"/>
              <w:pageBreakBefore w:val="0"/>
              <w:widowControl w:val="0"/>
              <w:spacing w:line="300" w:lineRule="auto"/>
              <w:ind w:right="0"/>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联系人：</w:t>
            </w:r>
          </w:p>
          <w:p w14:paraId="1693CACA">
            <w:pPr>
              <w:spacing w:line="300" w:lineRule="auto"/>
              <w:rPr>
                <w:rFonts w:ascii="Times New Roman" w:hAnsi="Times New Roman"/>
                <w:bCs/>
                <w:color w:val="auto"/>
                <w:sz w:val="24"/>
                <w:highlight w:val="none"/>
              </w:rPr>
            </w:pPr>
            <w:r>
              <w:rPr>
                <w:rFonts w:ascii="Times New Roman" w:hAnsi="Times New Roman" w:eastAsia="宋体" w:cs="Times New Roman"/>
                <w:color w:val="auto"/>
                <w:sz w:val="24"/>
                <w:szCs w:val="24"/>
                <w:highlight w:val="none"/>
                <w:lang w:val="en-US" w:eastAsia="zh-CN"/>
              </w:rPr>
              <w:t>联系电话：</w:t>
            </w:r>
          </w:p>
        </w:tc>
        <w:tc>
          <w:tcPr>
            <w:tcW w:w="4840" w:type="dxa"/>
            <w:gridSpan w:val="2"/>
            <w:vAlign w:val="top"/>
          </w:tcPr>
          <w:p w14:paraId="737362D1">
            <w:pPr>
              <w:spacing w:line="300" w:lineRule="auto"/>
              <w:rPr>
                <w:rFonts w:ascii="Times New Roman" w:hAnsi="Times New Roman"/>
                <w:bCs/>
                <w:color w:val="auto"/>
                <w:sz w:val="24"/>
                <w:highlight w:val="none"/>
              </w:rPr>
            </w:pPr>
          </w:p>
        </w:tc>
      </w:tr>
      <w:bookmarkEnd w:id="191"/>
      <w:bookmarkEnd w:id="192"/>
      <w:bookmarkEnd w:id="193"/>
      <w:bookmarkEnd w:id="194"/>
      <w:bookmarkEnd w:id="195"/>
      <w:bookmarkEnd w:id="196"/>
    </w:tbl>
    <w:p w14:paraId="12276420">
      <w:pPr>
        <w:shd w:val="clear" w:color="auto" w:fill="auto"/>
        <w:wordWrap/>
        <w:overflowPunct/>
        <w:topLinePunct w:val="0"/>
        <w:bidi w:val="0"/>
        <w:snapToGrid w:val="0"/>
        <w:spacing w:before="120" w:after="120" w:line="300" w:lineRule="auto"/>
        <w:rPr>
          <w:rFonts w:hint="default" w:ascii="Times New Roman" w:hAnsi="Times New Roman" w:eastAsia="宋体" w:cs="Times New Roman"/>
          <w:b/>
          <w:bCs/>
          <w:color w:val="auto"/>
          <w:kern w:val="2"/>
          <w:sz w:val="44"/>
          <w:szCs w:val="32"/>
          <w:highlight w:val="none"/>
          <w:lang w:val="en-US" w:eastAsia="zh-CN" w:bidi="ar-SA"/>
        </w:rPr>
        <w:sectPr>
          <w:footerReference r:id="rId7" w:type="first"/>
          <w:footerReference r:id="rId6" w:type="default"/>
          <w:pgSz w:w="11906" w:h="16838"/>
          <w:pgMar w:top="1440" w:right="1080" w:bottom="1440" w:left="1080" w:header="851" w:footer="992" w:gutter="0"/>
          <w:cols w:space="720" w:num="1"/>
          <w:titlePg/>
          <w:docGrid w:type="lines" w:linePitch="312" w:charSpace="0"/>
        </w:sectPr>
      </w:pPr>
      <w:bookmarkStart w:id="213" w:name="_Toc1523"/>
      <w:bookmarkStart w:id="214" w:name="_Toc26554093"/>
      <w:bookmarkStart w:id="215" w:name="_Toc120614281"/>
      <w:bookmarkStart w:id="216" w:name="_Toc49090575"/>
      <w:bookmarkStart w:id="217" w:name="_Toc35244880"/>
      <w:bookmarkStart w:id="218" w:name="_Toc54119656"/>
      <w:bookmarkStart w:id="219" w:name="_Toc11923"/>
    </w:p>
    <w:p w14:paraId="56244ED7">
      <w:pPr>
        <w:numPr>
          <w:ilvl w:val="0"/>
          <w:numId w:val="0"/>
        </w:numPr>
        <w:shd w:val="clear" w:color="auto" w:fill="auto"/>
        <w:wordWrap/>
        <w:overflowPunct/>
        <w:topLinePunct w:val="0"/>
        <w:bidi w:val="0"/>
        <w:snapToGrid w:val="0"/>
        <w:spacing w:before="120" w:after="120" w:line="300" w:lineRule="auto"/>
        <w:jc w:val="center"/>
        <w:rPr>
          <w:rFonts w:hint="default" w:ascii="Times New Roman" w:hAnsi="Times New Roman" w:eastAsia="宋体" w:cs="Times New Roman"/>
          <w:b/>
          <w:bCs/>
          <w:color w:val="auto"/>
          <w:kern w:val="2"/>
          <w:sz w:val="44"/>
          <w:szCs w:val="32"/>
          <w:highlight w:val="none"/>
          <w:lang w:val="en-US" w:eastAsia="zh-CN" w:bidi="ar-SA"/>
        </w:rPr>
      </w:pPr>
      <w:r>
        <w:rPr>
          <w:rFonts w:hint="eastAsia" w:ascii="Times New Roman" w:hAnsi="Times New Roman" w:eastAsia="宋体" w:cs="Times New Roman"/>
          <w:b/>
          <w:bCs/>
          <w:color w:val="auto"/>
          <w:kern w:val="2"/>
          <w:sz w:val="44"/>
          <w:szCs w:val="32"/>
          <w:highlight w:val="none"/>
          <w:lang w:val="en-US" w:eastAsia="zh-CN" w:bidi="ar-SA"/>
        </w:rPr>
        <w:t>第四章</w:t>
      </w:r>
      <w:r>
        <w:rPr>
          <w:rFonts w:hint="eastAsia" w:ascii="Times New Roman" w:hAnsi="Times New Roman" w:cs="Times New Roman"/>
          <w:b/>
          <w:bCs/>
          <w:color w:val="auto"/>
          <w:kern w:val="2"/>
          <w:sz w:val="44"/>
          <w:szCs w:val="32"/>
          <w:highlight w:val="none"/>
          <w:lang w:val="en-US" w:eastAsia="zh-CN" w:bidi="ar-SA"/>
        </w:rPr>
        <w:t xml:space="preserve"> </w:t>
      </w:r>
      <w:r>
        <w:rPr>
          <w:rFonts w:hint="default" w:ascii="Times New Roman" w:hAnsi="Times New Roman" w:eastAsia="宋体" w:cs="Times New Roman"/>
          <w:b/>
          <w:bCs/>
          <w:color w:val="auto"/>
          <w:kern w:val="2"/>
          <w:sz w:val="44"/>
          <w:szCs w:val="32"/>
          <w:highlight w:val="none"/>
          <w:lang w:val="en-US" w:eastAsia="zh-CN" w:bidi="ar-SA"/>
        </w:rPr>
        <w:t>项目需求</w:t>
      </w:r>
      <w:bookmarkEnd w:id="213"/>
      <w:bookmarkStart w:id="220" w:name="_Toc319429198"/>
      <w:bookmarkStart w:id="221" w:name="_Toc483515625"/>
      <w:bookmarkStart w:id="222" w:name="_Toc350255489"/>
      <w:bookmarkStart w:id="223" w:name="_Toc274321794"/>
    </w:p>
    <w:p w14:paraId="0BC64418">
      <w:pPr>
        <w:numPr>
          <w:ilvl w:val="0"/>
          <w:numId w:val="0"/>
        </w:numPr>
        <w:shd w:val="clear" w:color="auto" w:fill="auto"/>
        <w:wordWrap/>
        <w:overflowPunct/>
        <w:topLinePunct w:val="0"/>
        <w:bidi w:val="0"/>
        <w:snapToGrid w:val="0"/>
        <w:spacing w:before="120" w:after="120"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一、清单</w:t>
      </w:r>
    </w:p>
    <w:p w14:paraId="1419F001">
      <w:pPr>
        <w:pStyle w:val="51"/>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1．清单</w:t>
      </w:r>
    </w:p>
    <w:tbl>
      <w:tblPr>
        <w:tblStyle w:val="1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01"/>
        <w:gridCol w:w="817"/>
        <w:gridCol w:w="864"/>
        <w:gridCol w:w="818"/>
        <w:gridCol w:w="2024"/>
        <w:gridCol w:w="1696"/>
        <w:gridCol w:w="1266"/>
      </w:tblGrid>
      <w:tr w14:paraId="7EE8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302190">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序号</w:t>
            </w:r>
          </w:p>
        </w:tc>
        <w:tc>
          <w:tcPr>
            <w:tcW w:w="18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318494">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名称</w:t>
            </w:r>
          </w:p>
        </w:tc>
        <w:tc>
          <w:tcPr>
            <w:tcW w:w="81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145E51">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数量</w:t>
            </w:r>
          </w:p>
        </w:tc>
        <w:tc>
          <w:tcPr>
            <w:tcW w:w="86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F0B89DE">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单位</w:t>
            </w:r>
          </w:p>
        </w:tc>
        <w:tc>
          <w:tcPr>
            <w:tcW w:w="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28BE8E">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图片</w:t>
            </w:r>
          </w:p>
        </w:tc>
        <w:tc>
          <w:tcPr>
            <w:tcW w:w="202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08C464">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所属行业</w:t>
            </w:r>
          </w:p>
        </w:tc>
        <w:tc>
          <w:tcPr>
            <w:tcW w:w="16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19F7F5">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标的类型</w:t>
            </w:r>
          </w:p>
        </w:tc>
        <w:tc>
          <w:tcPr>
            <w:tcW w:w="12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2002CD">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标的属性</w:t>
            </w:r>
          </w:p>
        </w:tc>
      </w:tr>
      <w:tr w14:paraId="6E57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7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32316B">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1</w:t>
            </w:r>
          </w:p>
        </w:tc>
        <w:tc>
          <w:tcPr>
            <w:tcW w:w="18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0AE094">
            <w:pPr>
              <w:pStyle w:val="52"/>
              <w:wordWrap/>
              <w:overflowPunct/>
              <w:topLinePunct w:val="0"/>
              <w:bidi w:val="0"/>
              <w:spacing w:line="300" w:lineRule="auto"/>
              <w:jc w:val="center"/>
              <w:rPr>
                <w:rStyle w:val="21"/>
                <w:rFonts w:hint="eastAsia" w:ascii="Times New Roman" w:hAnsi="Times New Roman" w:eastAsia="宋体" w:cs="Times New Roman"/>
                <w:b w:val="0"/>
                <w:color w:val="auto"/>
                <w:sz w:val="24"/>
                <w:szCs w:val="24"/>
                <w:highlight w:val="none"/>
                <w:lang w:eastAsia="zh-CN"/>
              </w:rPr>
            </w:pPr>
            <w:r>
              <w:rPr>
                <w:rStyle w:val="21"/>
                <w:rFonts w:hint="default" w:ascii="Times New Roman" w:hAnsi="Times New Roman" w:eastAsia="宋体" w:cs="Times New Roman"/>
                <w:b w:val="0"/>
                <w:color w:val="auto"/>
                <w:kern w:val="2"/>
                <w:sz w:val="24"/>
                <w:szCs w:val="24"/>
                <w:highlight w:val="none"/>
                <w:lang w:val="en-US" w:eastAsia="zh-CN" w:bidi="ar-SA"/>
              </w:rPr>
              <w:t>检验</w:t>
            </w:r>
            <w:r>
              <w:rPr>
                <w:rStyle w:val="21"/>
                <w:rFonts w:hint="eastAsia" w:ascii="Times New Roman" w:hAnsi="Times New Roman" w:eastAsia="宋体" w:cs="Times New Roman"/>
                <w:b w:val="0"/>
                <w:color w:val="auto"/>
                <w:kern w:val="2"/>
                <w:sz w:val="24"/>
                <w:szCs w:val="24"/>
                <w:highlight w:val="none"/>
                <w:lang w:val="en-US" w:eastAsia="zh-CN" w:bidi="ar-SA"/>
              </w:rPr>
              <w:t>、</w:t>
            </w:r>
            <w:r>
              <w:rPr>
                <w:rStyle w:val="21"/>
                <w:rFonts w:hint="default" w:ascii="Times New Roman" w:hAnsi="Times New Roman" w:eastAsia="宋体" w:cs="Times New Roman"/>
                <w:b w:val="0"/>
                <w:color w:val="auto"/>
                <w:kern w:val="2"/>
                <w:sz w:val="24"/>
                <w:szCs w:val="24"/>
                <w:highlight w:val="none"/>
                <w:lang w:val="en-US" w:eastAsia="zh-CN" w:bidi="ar-SA"/>
              </w:rPr>
              <w:t>输血管理系统</w:t>
            </w:r>
            <w:r>
              <w:rPr>
                <w:rStyle w:val="21"/>
                <w:rFonts w:hint="eastAsia" w:ascii="Times New Roman" w:hAnsi="Times New Roman" w:eastAsia="宋体" w:cs="Times New Roman"/>
                <w:b w:val="0"/>
                <w:color w:val="auto"/>
                <w:kern w:val="2"/>
                <w:sz w:val="24"/>
                <w:szCs w:val="24"/>
                <w:highlight w:val="none"/>
                <w:lang w:val="en-US" w:eastAsia="zh-CN" w:bidi="ar-SA"/>
              </w:rPr>
              <w:t>（含区域检验平台）</w:t>
            </w:r>
          </w:p>
        </w:tc>
        <w:tc>
          <w:tcPr>
            <w:tcW w:w="81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436DDEE">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1</w:t>
            </w:r>
          </w:p>
        </w:tc>
        <w:tc>
          <w:tcPr>
            <w:tcW w:w="86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CD6A05">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lang w:val="en-US" w:eastAsia="zh-CN"/>
              </w:rPr>
            </w:pPr>
            <w:r>
              <w:rPr>
                <w:rStyle w:val="21"/>
                <w:rFonts w:hint="default" w:ascii="Times New Roman" w:hAnsi="Times New Roman" w:eastAsia="宋体" w:cs="Times New Roman"/>
                <w:b w:val="0"/>
                <w:color w:val="auto"/>
                <w:kern w:val="2"/>
                <w:sz w:val="24"/>
                <w:szCs w:val="24"/>
                <w:highlight w:val="none"/>
                <w:lang w:val="en-US" w:eastAsia="zh-CN" w:bidi="ar-SA"/>
              </w:rPr>
              <w:t>套</w:t>
            </w:r>
          </w:p>
        </w:tc>
        <w:tc>
          <w:tcPr>
            <w:tcW w:w="81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70FF1D">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无</w:t>
            </w:r>
          </w:p>
        </w:tc>
        <w:tc>
          <w:tcPr>
            <w:tcW w:w="2024" w:type="dxa"/>
            <w:tcBorders>
              <w:top w:val="single" w:color="000000" w:sz="2" w:space="0"/>
              <w:left w:val="single" w:color="000000" w:sz="2" w:space="0"/>
              <w:right w:val="single" w:color="000000" w:sz="2" w:space="0"/>
            </w:tcBorders>
            <w:tcMar>
              <w:top w:w="100" w:type="dxa"/>
              <w:bottom w:w="100" w:type="dxa"/>
            </w:tcMar>
            <w:vAlign w:val="center"/>
          </w:tcPr>
          <w:p w14:paraId="494EF97A">
            <w:pPr>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spacing w:val="7"/>
                <w:sz w:val="24"/>
                <w:highlight w:val="none"/>
              </w:rPr>
              <w:t>软件和信息技术服务业</w:t>
            </w:r>
          </w:p>
        </w:tc>
        <w:tc>
          <w:tcPr>
            <w:tcW w:w="169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EBC8F0">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主要采购标的</w:t>
            </w:r>
          </w:p>
        </w:tc>
        <w:tc>
          <w:tcPr>
            <w:tcW w:w="12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B8A275">
            <w:pPr>
              <w:pStyle w:val="52"/>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货物类</w:t>
            </w:r>
          </w:p>
        </w:tc>
      </w:tr>
    </w:tbl>
    <w:p w14:paraId="4F9669B0">
      <w:pPr>
        <w:pStyle w:val="53"/>
        <w:wordWrap/>
        <w:overflowPunct/>
        <w:topLinePunct w:val="0"/>
        <w:bidi w:val="0"/>
        <w:spacing w:line="300" w:lineRule="auto"/>
        <w:ind w:firstLine="508" w:firstLineChars="2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C8289A9">
      <w:pPr>
        <w:pStyle w:val="54"/>
        <w:wordWrap/>
        <w:overflowPunct/>
        <w:topLinePunct w:val="0"/>
        <w:bidi w:val="0"/>
        <w:spacing w:line="300" w:lineRule="auto"/>
        <w:ind w:firstLine="500"/>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2．核心产品清单</w:t>
      </w:r>
    </w:p>
    <w:tbl>
      <w:tblPr>
        <w:tblStyle w:val="19"/>
        <w:tblW w:w="9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7868"/>
      </w:tblGrid>
      <w:tr w14:paraId="7E72C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0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3D933B">
            <w:pPr>
              <w:pStyle w:val="55"/>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序号</w:t>
            </w:r>
          </w:p>
        </w:tc>
        <w:tc>
          <w:tcPr>
            <w:tcW w:w="78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C510B4">
            <w:pPr>
              <w:pStyle w:val="55"/>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名称</w:t>
            </w:r>
          </w:p>
        </w:tc>
      </w:tr>
      <w:tr w14:paraId="54726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0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A36D04">
            <w:pPr>
              <w:pStyle w:val="55"/>
              <w:wordWrap/>
              <w:overflowPunct/>
              <w:topLinePunct w:val="0"/>
              <w:bidi w:val="0"/>
              <w:spacing w:line="300" w:lineRule="auto"/>
              <w:jc w:val="center"/>
              <w:rPr>
                <w:rStyle w:val="21"/>
                <w:rFonts w:hint="default" w:ascii="Times New Roman" w:hAnsi="Times New Roman" w:eastAsia="宋体" w:cs="Times New Roman"/>
                <w:b w:val="0"/>
                <w:color w:val="auto"/>
                <w:sz w:val="24"/>
                <w:szCs w:val="24"/>
                <w:highlight w:val="none"/>
              </w:rPr>
            </w:pPr>
            <w:r>
              <w:rPr>
                <w:rStyle w:val="21"/>
                <w:rFonts w:hint="default" w:ascii="Times New Roman" w:hAnsi="Times New Roman" w:eastAsia="宋体" w:cs="Times New Roman"/>
                <w:b w:val="0"/>
                <w:color w:val="auto"/>
                <w:kern w:val="2"/>
                <w:sz w:val="24"/>
                <w:szCs w:val="24"/>
                <w:highlight w:val="none"/>
                <w:lang w:val="en-US" w:eastAsia="zh-CN" w:bidi="ar-SA"/>
              </w:rPr>
              <w:t>1</w:t>
            </w:r>
          </w:p>
        </w:tc>
        <w:tc>
          <w:tcPr>
            <w:tcW w:w="786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89B395">
            <w:pPr>
              <w:pStyle w:val="55"/>
              <w:wordWrap/>
              <w:overflowPunct/>
              <w:topLinePunct w:val="0"/>
              <w:bidi w:val="0"/>
              <w:spacing w:line="300" w:lineRule="auto"/>
              <w:jc w:val="center"/>
              <w:rPr>
                <w:rStyle w:val="21"/>
                <w:rFonts w:hint="eastAsia" w:ascii="Times New Roman" w:hAnsi="Times New Roman" w:eastAsia="宋体" w:cs="Times New Roman"/>
                <w:b w:val="0"/>
                <w:color w:val="auto"/>
                <w:sz w:val="24"/>
                <w:szCs w:val="24"/>
                <w:highlight w:val="none"/>
                <w:lang w:val="en-US" w:eastAsia="zh-CN"/>
              </w:rPr>
            </w:pPr>
            <w:r>
              <w:rPr>
                <w:rStyle w:val="21"/>
                <w:rFonts w:hint="default" w:ascii="Times New Roman" w:hAnsi="Times New Roman" w:eastAsia="宋体" w:cs="Times New Roman"/>
                <w:b w:val="0"/>
                <w:color w:val="auto"/>
                <w:kern w:val="2"/>
                <w:sz w:val="24"/>
                <w:szCs w:val="24"/>
                <w:highlight w:val="none"/>
                <w:lang w:val="en-US" w:eastAsia="zh-CN" w:bidi="ar-SA"/>
              </w:rPr>
              <w:t>检验</w:t>
            </w:r>
            <w:r>
              <w:rPr>
                <w:rStyle w:val="21"/>
                <w:rFonts w:hint="eastAsia" w:ascii="Times New Roman" w:hAnsi="Times New Roman" w:eastAsia="宋体" w:cs="Times New Roman"/>
                <w:b w:val="0"/>
                <w:color w:val="auto"/>
                <w:kern w:val="2"/>
                <w:sz w:val="24"/>
                <w:szCs w:val="24"/>
                <w:highlight w:val="none"/>
                <w:lang w:val="en-US" w:eastAsia="zh-CN" w:bidi="ar-SA"/>
              </w:rPr>
              <w:t>、</w:t>
            </w:r>
            <w:r>
              <w:rPr>
                <w:rStyle w:val="21"/>
                <w:rFonts w:hint="default" w:ascii="Times New Roman" w:hAnsi="Times New Roman" w:eastAsia="宋体" w:cs="Times New Roman"/>
                <w:b w:val="0"/>
                <w:color w:val="auto"/>
                <w:kern w:val="2"/>
                <w:sz w:val="24"/>
                <w:szCs w:val="24"/>
                <w:highlight w:val="none"/>
                <w:lang w:val="en-US" w:eastAsia="zh-CN" w:bidi="ar-SA"/>
              </w:rPr>
              <w:t>输血管理系统</w:t>
            </w:r>
            <w:r>
              <w:rPr>
                <w:rStyle w:val="21"/>
                <w:rFonts w:hint="eastAsia" w:ascii="Times New Roman" w:hAnsi="Times New Roman" w:eastAsia="宋体" w:cs="Times New Roman"/>
                <w:b w:val="0"/>
                <w:color w:val="auto"/>
                <w:kern w:val="2"/>
                <w:sz w:val="24"/>
                <w:szCs w:val="24"/>
                <w:highlight w:val="none"/>
                <w:lang w:val="en-US" w:eastAsia="zh-CN" w:bidi="ar-SA"/>
              </w:rPr>
              <w:t>（含区域检验平台）</w:t>
            </w:r>
          </w:p>
        </w:tc>
      </w:tr>
    </w:tbl>
    <w:p w14:paraId="5D834F6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Style w:val="21"/>
          <w:rFonts w:hint="default" w:ascii="Times New Roman" w:hAnsi="Times New Roman" w:eastAsia="宋体" w:cs="Times New Roman"/>
          <w:b w:val="0"/>
          <w:color w:val="auto"/>
          <w:spacing w:val="7"/>
          <w:kern w:val="2"/>
          <w:sz w:val="24"/>
          <w:szCs w:val="28"/>
          <w:highlight w:val="none"/>
          <w:lang w:val="en-US" w:eastAsia="zh-CN" w:bidi="ar-SA"/>
        </w:rPr>
      </w:pPr>
      <w:r>
        <w:rPr>
          <w:rStyle w:val="21"/>
          <w:rFonts w:hint="default" w:ascii="Times New Roman" w:hAnsi="Times New Roman" w:eastAsia="宋体" w:cs="Times New Roman"/>
          <w:b w:val="0"/>
          <w:color w:val="auto"/>
          <w:spacing w:val="7"/>
          <w:kern w:val="2"/>
          <w:sz w:val="24"/>
          <w:szCs w:val="22"/>
          <w:highlight w:val="none"/>
          <w:lang w:val="en-US" w:eastAsia="zh-CN" w:bidi="ar-SA"/>
        </w:rPr>
        <w:t>注：</w:t>
      </w:r>
    </w:p>
    <w:p w14:paraId="36D9E6E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Style w:val="21"/>
          <w:rFonts w:hint="default" w:ascii="Times New Roman" w:hAnsi="Times New Roman" w:eastAsia="宋体" w:cs="Times New Roman"/>
          <w:b w:val="0"/>
          <w:color w:val="auto"/>
          <w:spacing w:val="7"/>
          <w:kern w:val="2"/>
          <w:sz w:val="24"/>
          <w:szCs w:val="28"/>
          <w:highlight w:val="none"/>
          <w:lang w:val="en-US" w:eastAsia="zh-CN" w:bidi="ar-SA"/>
        </w:rPr>
      </w:pPr>
      <w:r>
        <w:rPr>
          <w:rStyle w:val="21"/>
          <w:rFonts w:hint="default" w:ascii="Times New Roman" w:hAnsi="Times New Roman" w:eastAsia="宋体" w:cs="Times New Roman"/>
          <w:b w:val="0"/>
          <w:color w:val="auto"/>
          <w:spacing w:val="7"/>
          <w:kern w:val="2"/>
          <w:sz w:val="24"/>
          <w:szCs w:val="22"/>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3566A81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Style w:val="21"/>
          <w:rFonts w:hint="default" w:ascii="Times New Roman" w:hAnsi="Times New Roman" w:eastAsia="宋体" w:cs="Times New Roman"/>
          <w:b w:val="0"/>
          <w:color w:val="auto"/>
          <w:spacing w:val="7"/>
          <w:kern w:val="2"/>
          <w:sz w:val="24"/>
          <w:szCs w:val="28"/>
          <w:highlight w:val="none"/>
          <w:lang w:val="en-US" w:eastAsia="zh-CN" w:bidi="ar-SA"/>
        </w:rPr>
      </w:pPr>
      <w:r>
        <w:rPr>
          <w:rStyle w:val="21"/>
          <w:rFonts w:hint="default" w:ascii="Times New Roman" w:hAnsi="Times New Roman" w:eastAsia="宋体" w:cs="Times New Roman"/>
          <w:b w:val="0"/>
          <w:color w:val="auto"/>
          <w:spacing w:val="7"/>
          <w:kern w:val="2"/>
          <w:sz w:val="24"/>
          <w:szCs w:val="22"/>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5DE7BAF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Style w:val="21"/>
          <w:rFonts w:hint="default" w:ascii="Times New Roman" w:hAnsi="Times New Roman" w:eastAsia="宋体" w:cs="Times New Roman"/>
          <w:b w:val="0"/>
          <w:color w:val="auto"/>
          <w:spacing w:val="7"/>
          <w:kern w:val="2"/>
          <w:sz w:val="24"/>
          <w:szCs w:val="28"/>
          <w:highlight w:val="none"/>
          <w:lang w:val="en-US" w:eastAsia="zh-CN" w:bidi="ar-SA"/>
        </w:rPr>
      </w:pPr>
      <w:r>
        <w:rPr>
          <w:rStyle w:val="21"/>
          <w:rFonts w:hint="default" w:ascii="Times New Roman" w:hAnsi="Times New Roman" w:eastAsia="宋体" w:cs="Times New Roman"/>
          <w:b w:val="0"/>
          <w:color w:val="auto"/>
          <w:spacing w:val="7"/>
          <w:kern w:val="2"/>
          <w:sz w:val="24"/>
          <w:szCs w:val="22"/>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60AC2DB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Style w:val="21"/>
          <w:rFonts w:hint="default" w:ascii="Times New Roman" w:hAnsi="Times New Roman" w:eastAsia="宋体" w:cs="Times New Roman"/>
          <w:b w:val="0"/>
          <w:color w:val="auto"/>
          <w:spacing w:val="7"/>
          <w:kern w:val="2"/>
          <w:sz w:val="24"/>
          <w:szCs w:val="28"/>
          <w:highlight w:val="none"/>
          <w:lang w:val="en-US" w:eastAsia="zh-CN" w:bidi="ar-SA"/>
        </w:rPr>
      </w:pPr>
      <w:r>
        <w:rPr>
          <w:rStyle w:val="21"/>
          <w:rFonts w:hint="default" w:ascii="Times New Roman" w:hAnsi="Times New Roman" w:eastAsia="宋体" w:cs="Times New Roman"/>
          <w:b w:val="0"/>
          <w:color w:val="auto"/>
          <w:spacing w:val="7"/>
          <w:kern w:val="2"/>
          <w:sz w:val="24"/>
          <w:szCs w:val="22"/>
          <w:highlight w:val="none"/>
          <w:lang w:val="en-US" w:eastAsia="zh-CN" w:bidi="ar-SA"/>
        </w:rPr>
        <w:t>节能产品政府采购品目清单：无</w:t>
      </w:r>
    </w:p>
    <w:p w14:paraId="74A1751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textAlignment w:val="baseline"/>
        <w:rPr>
          <w:rFonts w:hint="default" w:ascii="Times New Roman" w:hAnsi="Times New Roman" w:eastAsia="宋体" w:cs="Times New Roman"/>
          <w:b/>
          <w:color w:val="auto"/>
          <w:kern w:val="2"/>
          <w:sz w:val="28"/>
          <w:szCs w:val="28"/>
          <w:highlight w:val="none"/>
          <w:lang w:val="en-US" w:eastAsia="zh-CN" w:bidi="ar-SA"/>
        </w:rPr>
        <w:sectPr>
          <w:pgSz w:w="11906" w:h="16838"/>
          <w:pgMar w:top="1440" w:right="1080" w:bottom="1440" w:left="1080" w:header="851" w:footer="992" w:gutter="0"/>
          <w:cols w:space="720" w:num="1"/>
          <w:titlePg/>
          <w:docGrid w:type="lines" w:linePitch="312" w:charSpace="0"/>
        </w:sectPr>
      </w:pPr>
      <w:r>
        <w:rPr>
          <w:rStyle w:val="21"/>
          <w:rFonts w:hint="default" w:ascii="Times New Roman" w:hAnsi="Times New Roman" w:eastAsia="宋体" w:cs="Times New Roman"/>
          <w:b w:val="0"/>
          <w:color w:val="auto"/>
          <w:spacing w:val="7"/>
          <w:kern w:val="2"/>
          <w:sz w:val="24"/>
          <w:szCs w:val="22"/>
          <w:highlight w:val="none"/>
          <w:lang w:val="en-US" w:eastAsia="zh-CN" w:bidi="ar-SA"/>
        </w:rPr>
        <w:t>环境标志产品政府采购品目清单：无</w:t>
      </w:r>
    </w:p>
    <w:p w14:paraId="4FEA205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二、技术要求</w:t>
      </w:r>
    </w:p>
    <w:p w14:paraId="54F74CCC">
      <w:pPr>
        <w:kinsoku/>
        <w:wordWrap/>
        <w:overflowPunct/>
        <w:topLinePunct w:val="0"/>
        <w:bidi w:val="0"/>
        <w:spacing w:line="300" w:lineRule="auto"/>
        <w:textAlignment w:val="auto"/>
        <w:rPr>
          <w:rFonts w:hint="default" w:ascii="Times New Roman" w:hAnsi="Times New Roman" w:eastAsia="宋体" w:cs="Times New Roman"/>
          <w:b/>
          <w:bCs w:val="0"/>
          <w:i w:val="0"/>
          <w:iCs/>
          <w:color w:val="auto"/>
          <w:sz w:val="24"/>
          <w:szCs w:val="24"/>
          <w:highlight w:val="none"/>
          <w:u w:val="none"/>
        </w:rPr>
      </w:pPr>
      <w:r>
        <w:rPr>
          <w:rFonts w:hint="default" w:ascii="Times New Roman" w:hAnsi="Times New Roman" w:eastAsia="宋体" w:cs="Times New Roman"/>
          <w:b/>
          <w:bCs w:val="0"/>
          <w:i w:val="0"/>
          <w:iCs/>
          <w:color w:val="auto"/>
          <w:sz w:val="24"/>
          <w:szCs w:val="24"/>
          <w:highlight w:val="none"/>
          <w:u w:val="none"/>
          <w:lang w:eastAsia="zh-CN"/>
        </w:rPr>
        <w:t>（</w:t>
      </w:r>
      <w:r>
        <w:rPr>
          <w:rFonts w:hint="default" w:ascii="Times New Roman" w:hAnsi="Times New Roman" w:eastAsia="宋体" w:cs="Times New Roman"/>
          <w:b/>
          <w:bCs w:val="0"/>
          <w:i w:val="0"/>
          <w:iCs/>
          <w:color w:val="auto"/>
          <w:sz w:val="24"/>
          <w:szCs w:val="24"/>
          <w:highlight w:val="none"/>
          <w:u w:val="none"/>
          <w:lang w:val="en-US" w:eastAsia="zh-CN"/>
        </w:rPr>
        <w:t>一</w:t>
      </w:r>
      <w:r>
        <w:rPr>
          <w:rFonts w:hint="default" w:ascii="Times New Roman" w:hAnsi="Times New Roman" w:eastAsia="宋体" w:cs="Times New Roman"/>
          <w:b/>
          <w:bCs w:val="0"/>
          <w:i w:val="0"/>
          <w:iCs/>
          <w:color w:val="auto"/>
          <w:sz w:val="24"/>
          <w:szCs w:val="24"/>
          <w:highlight w:val="none"/>
          <w:u w:val="none"/>
          <w:lang w:eastAsia="zh-CN"/>
        </w:rPr>
        <w:t>）</w:t>
      </w:r>
      <w:r>
        <w:rPr>
          <w:rFonts w:hint="default" w:ascii="Times New Roman" w:hAnsi="Times New Roman" w:eastAsia="宋体" w:cs="Times New Roman"/>
          <w:b/>
          <w:bCs w:val="0"/>
          <w:i w:val="0"/>
          <w:iCs/>
          <w:color w:val="auto"/>
          <w:sz w:val="24"/>
          <w:szCs w:val="24"/>
          <w:highlight w:val="none"/>
          <w:u w:val="none"/>
        </w:rPr>
        <w:t>项目概述</w:t>
      </w:r>
    </w:p>
    <w:p w14:paraId="33C37808">
      <w:pPr>
        <w:kinsoku/>
        <w:wordWrap/>
        <w:overflowPunct/>
        <w:topLinePunct w:val="0"/>
        <w:bidi w:val="0"/>
        <w:spacing w:line="300" w:lineRule="auto"/>
        <w:ind w:firstLine="720" w:firstLineChars="300"/>
        <w:textAlignment w:val="auto"/>
        <w:rPr>
          <w:rFonts w:hint="default" w:ascii="Times New Roman" w:hAnsi="Times New Roman" w:eastAsia="宋体" w:cs="Times New Roman"/>
          <w:bCs/>
          <w:i w:val="0"/>
          <w:iCs/>
          <w:color w:val="auto"/>
          <w:sz w:val="24"/>
          <w:szCs w:val="24"/>
          <w:highlight w:val="none"/>
          <w:u w:val="none"/>
        </w:rPr>
      </w:pPr>
      <w:r>
        <w:rPr>
          <w:rFonts w:hint="default" w:ascii="Times New Roman" w:hAnsi="Times New Roman" w:eastAsia="宋体" w:cs="Times New Roman"/>
          <w:bCs/>
          <w:i w:val="0"/>
          <w:iCs/>
          <w:color w:val="auto"/>
          <w:sz w:val="24"/>
          <w:szCs w:val="24"/>
          <w:highlight w:val="none"/>
          <w:u w:val="none"/>
        </w:rPr>
        <w:t>此项目为升级替代医院现有检验/输血系统，现系统已在</w:t>
      </w:r>
      <w:r>
        <w:rPr>
          <w:rFonts w:hint="default" w:ascii="Times New Roman" w:hAnsi="Times New Roman" w:eastAsia="宋体" w:cs="Times New Roman"/>
          <w:bCs/>
          <w:i w:val="0"/>
          <w:iCs/>
          <w:color w:val="auto"/>
          <w:sz w:val="24"/>
          <w:szCs w:val="24"/>
          <w:highlight w:val="none"/>
          <w:u w:val="none"/>
          <w:lang w:val="en-US" w:eastAsia="zh-CN"/>
        </w:rPr>
        <w:t>张家港市</w:t>
      </w:r>
      <w:r>
        <w:rPr>
          <w:rFonts w:hint="default" w:ascii="Times New Roman" w:hAnsi="Times New Roman" w:eastAsia="宋体" w:cs="Times New Roman"/>
          <w:bCs/>
          <w:i w:val="0"/>
          <w:iCs/>
          <w:color w:val="auto"/>
          <w:sz w:val="24"/>
          <w:szCs w:val="24"/>
          <w:highlight w:val="none"/>
          <w:u w:val="none"/>
          <w:lang w:eastAsia="zh-CN"/>
        </w:rPr>
        <w:t>第一人民医院</w:t>
      </w:r>
      <w:r>
        <w:rPr>
          <w:rFonts w:hint="default" w:ascii="Times New Roman" w:hAnsi="Times New Roman" w:eastAsia="宋体" w:cs="Times New Roman"/>
          <w:bCs/>
          <w:i w:val="0"/>
          <w:iCs/>
          <w:color w:val="auto"/>
          <w:sz w:val="24"/>
          <w:szCs w:val="24"/>
          <w:highlight w:val="none"/>
          <w:u w:val="none"/>
        </w:rPr>
        <w:t>运行10多年，随着检验科和输血科业务的发展，技术的进步及行业规范的提高，该系统的局限性日益凸显，严重影响工作效率、服务质量，也不能满足特殊项目质控和预警的要求，更替原因如下：</w:t>
      </w:r>
    </w:p>
    <w:p w14:paraId="0F2674CD">
      <w:pPr>
        <w:numPr>
          <w:ilvl w:val="0"/>
          <w:numId w:val="0"/>
        </w:numPr>
        <w:kinsoku/>
        <w:wordWrap/>
        <w:overflowPunct/>
        <w:topLinePunct w:val="0"/>
        <w:bidi w:val="0"/>
        <w:spacing w:line="300" w:lineRule="auto"/>
        <w:ind w:firstLine="720" w:firstLineChars="300"/>
        <w:textAlignment w:val="auto"/>
        <w:rPr>
          <w:rFonts w:hint="default" w:ascii="Times New Roman" w:hAnsi="Times New Roman" w:eastAsia="宋体" w:cs="Times New Roman"/>
          <w:bCs/>
          <w:i w:val="0"/>
          <w:iCs/>
          <w:color w:val="auto"/>
          <w:sz w:val="24"/>
          <w:szCs w:val="24"/>
          <w:highlight w:val="none"/>
          <w:u w:val="none"/>
        </w:rPr>
      </w:pPr>
      <w:r>
        <w:rPr>
          <w:rFonts w:hint="default" w:ascii="Times New Roman" w:hAnsi="Times New Roman" w:eastAsia="宋体" w:cs="Times New Roman"/>
          <w:bCs/>
          <w:i w:val="0"/>
          <w:iCs/>
          <w:color w:val="auto"/>
          <w:sz w:val="24"/>
          <w:szCs w:val="24"/>
          <w:highlight w:val="none"/>
          <w:u w:val="none"/>
        </w:rPr>
        <w:t>现有系统无法满足无纸化微生物、院感申请、耗材管理（可做二级库，对接医院spd系统）、质量指标一键上报、统计功能（看明细，可自定义）、人员管理、文档管理、考试系统、AI诊断、绩效考核管理等精细化管理功能；特殊项目的管控、预警功能缺失；人的多维度评价和物的科室内部管理绩效考核评估功能缺失</w:t>
      </w:r>
      <w:r>
        <w:rPr>
          <w:rFonts w:hint="default" w:ascii="Times New Roman" w:hAnsi="Times New Roman" w:eastAsia="宋体" w:cs="Times New Roman"/>
          <w:bCs/>
          <w:i w:val="0"/>
          <w:iCs/>
          <w:color w:val="auto"/>
          <w:sz w:val="24"/>
          <w:szCs w:val="24"/>
          <w:highlight w:val="none"/>
          <w:u w:val="none"/>
          <w:lang w:eastAsia="zh-CN"/>
        </w:rPr>
        <w:t>；</w:t>
      </w:r>
      <w:r>
        <w:rPr>
          <w:rFonts w:hint="default" w:ascii="Times New Roman" w:hAnsi="Times New Roman" w:eastAsia="宋体" w:cs="Times New Roman"/>
          <w:bCs/>
          <w:i w:val="0"/>
          <w:iCs/>
          <w:color w:val="auto"/>
          <w:sz w:val="24"/>
          <w:szCs w:val="24"/>
          <w:highlight w:val="none"/>
          <w:u w:val="none"/>
        </w:rPr>
        <w:t>可自定义内容或结合其他医院大屏展示的内容（如：样本信息、危急值、医联体样本信息、超时报告等）的驾驶舱-智能化展示功能缺失</w:t>
      </w:r>
      <w:r>
        <w:rPr>
          <w:rFonts w:hint="eastAsia" w:ascii="Times New Roman" w:hAnsi="Times New Roman" w:eastAsia="宋体" w:cs="Times New Roman"/>
          <w:bCs/>
          <w:i w:val="0"/>
          <w:iCs/>
          <w:color w:val="auto"/>
          <w:sz w:val="24"/>
          <w:szCs w:val="24"/>
          <w:highlight w:val="none"/>
          <w:u w:val="none"/>
          <w:lang w:val="en-US" w:eastAsia="zh-CN"/>
        </w:rPr>
        <w:t>；</w:t>
      </w:r>
      <w:r>
        <w:rPr>
          <w:rFonts w:hint="default" w:ascii="Times New Roman" w:hAnsi="Times New Roman" w:eastAsia="宋体" w:cs="Times New Roman"/>
          <w:bCs/>
          <w:i w:val="0"/>
          <w:iCs/>
          <w:color w:val="auto"/>
          <w:sz w:val="24"/>
          <w:szCs w:val="24"/>
          <w:highlight w:val="none"/>
          <w:u w:val="none"/>
        </w:rPr>
        <w:t>无法满足信创和AI方面的需求：无法支持国产数据库部署和deepseek对接，报告解读（如病人多份报告，异常信息提醒）故障排查人工智能要求。</w:t>
      </w:r>
    </w:p>
    <w:p w14:paraId="4D65B97E">
      <w:pPr>
        <w:kinsoku/>
        <w:wordWrap/>
        <w:overflowPunct/>
        <w:topLinePunct w:val="0"/>
        <w:bidi w:val="0"/>
        <w:spacing w:line="300" w:lineRule="auto"/>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bidi="ar-SA"/>
        </w:rPr>
        <w:t>（二）</w:t>
      </w:r>
      <w:r>
        <w:rPr>
          <w:rFonts w:hint="default" w:ascii="Times New Roman" w:hAnsi="Times New Roman" w:eastAsia="宋体" w:cs="Times New Roman"/>
          <w:b/>
          <w:bCs/>
          <w:color w:val="auto"/>
          <w:sz w:val="24"/>
          <w:szCs w:val="24"/>
          <w:highlight w:val="none"/>
          <w:lang w:val="en-US" w:eastAsia="zh-CN"/>
        </w:rPr>
        <w:t>配置清单</w:t>
      </w:r>
    </w:p>
    <w:tbl>
      <w:tblPr>
        <w:tblStyle w:val="19"/>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4791"/>
        <w:gridCol w:w="3006"/>
      </w:tblGrid>
      <w:tr w14:paraId="78B36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462" w:type="dxa"/>
            <w:tcBorders>
              <w:top w:val="single" w:color="auto" w:sz="4" w:space="0"/>
              <w:left w:val="single" w:color="auto" w:sz="4" w:space="0"/>
              <w:bottom w:val="single" w:color="auto" w:sz="4" w:space="0"/>
              <w:right w:val="single" w:color="auto" w:sz="4" w:space="0"/>
            </w:tcBorders>
            <w:vAlign w:val="center"/>
          </w:tcPr>
          <w:p w14:paraId="6D2381EA">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序号</w:t>
            </w:r>
          </w:p>
        </w:tc>
        <w:tc>
          <w:tcPr>
            <w:tcW w:w="4791" w:type="dxa"/>
            <w:tcBorders>
              <w:top w:val="single" w:color="auto" w:sz="4" w:space="0"/>
              <w:left w:val="single" w:color="auto" w:sz="4" w:space="0"/>
              <w:bottom w:val="single" w:color="auto" w:sz="4" w:space="0"/>
              <w:right w:val="single" w:color="auto" w:sz="4" w:space="0"/>
            </w:tcBorders>
            <w:vAlign w:val="center"/>
          </w:tcPr>
          <w:p w14:paraId="031A967F">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货物名称</w:t>
            </w:r>
          </w:p>
        </w:tc>
        <w:tc>
          <w:tcPr>
            <w:tcW w:w="3006" w:type="dxa"/>
            <w:tcBorders>
              <w:top w:val="single" w:color="auto" w:sz="4" w:space="0"/>
              <w:left w:val="single" w:color="auto" w:sz="4" w:space="0"/>
              <w:bottom w:val="single" w:color="auto" w:sz="4" w:space="0"/>
              <w:right w:val="single" w:color="auto" w:sz="4" w:space="0"/>
            </w:tcBorders>
            <w:vAlign w:val="center"/>
          </w:tcPr>
          <w:p w14:paraId="3441A08B">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数量</w:t>
            </w:r>
          </w:p>
        </w:tc>
      </w:tr>
      <w:tr w14:paraId="1D1E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462" w:type="dxa"/>
            <w:tcBorders>
              <w:top w:val="single" w:color="auto" w:sz="4" w:space="0"/>
              <w:left w:val="single" w:color="auto" w:sz="4" w:space="0"/>
              <w:bottom w:val="single" w:color="auto" w:sz="4" w:space="0"/>
              <w:right w:val="single" w:color="auto" w:sz="4" w:space="0"/>
            </w:tcBorders>
            <w:vAlign w:val="center"/>
          </w:tcPr>
          <w:p w14:paraId="43AC74FB">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w:t>
            </w:r>
          </w:p>
        </w:tc>
        <w:tc>
          <w:tcPr>
            <w:tcW w:w="4791" w:type="dxa"/>
            <w:tcBorders>
              <w:top w:val="single" w:color="auto" w:sz="4" w:space="0"/>
              <w:left w:val="single" w:color="auto" w:sz="4" w:space="0"/>
              <w:bottom w:val="single" w:color="auto" w:sz="4" w:space="0"/>
              <w:right w:val="single" w:color="auto" w:sz="4" w:space="0"/>
            </w:tcBorders>
            <w:vAlign w:val="center"/>
          </w:tcPr>
          <w:p w14:paraId="0953676E">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实验室信息管理系统</w:t>
            </w:r>
          </w:p>
        </w:tc>
        <w:tc>
          <w:tcPr>
            <w:tcW w:w="3006" w:type="dxa"/>
            <w:tcBorders>
              <w:top w:val="single" w:color="auto" w:sz="4" w:space="0"/>
              <w:left w:val="single" w:color="auto" w:sz="4" w:space="0"/>
              <w:bottom w:val="single" w:color="auto" w:sz="4" w:space="0"/>
              <w:right w:val="single" w:color="auto" w:sz="4" w:space="0"/>
            </w:tcBorders>
            <w:vAlign w:val="center"/>
          </w:tcPr>
          <w:p w14:paraId="51CAD341">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1套</w:t>
            </w:r>
          </w:p>
        </w:tc>
      </w:tr>
      <w:tr w14:paraId="67D6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462" w:type="dxa"/>
            <w:tcBorders>
              <w:top w:val="single" w:color="auto" w:sz="4" w:space="0"/>
              <w:left w:val="single" w:color="auto" w:sz="4" w:space="0"/>
              <w:bottom w:val="single" w:color="auto" w:sz="4" w:space="0"/>
              <w:right w:val="single" w:color="auto" w:sz="4" w:space="0"/>
            </w:tcBorders>
            <w:vAlign w:val="center"/>
          </w:tcPr>
          <w:p w14:paraId="20D43981">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w:t>
            </w:r>
          </w:p>
        </w:tc>
        <w:tc>
          <w:tcPr>
            <w:tcW w:w="4791" w:type="dxa"/>
            <w:tcBorders>
              <w:top w:val="single" w:color="auto" w:sz="4" w:space="0"/>
              <w:left w:val="single" w:color="auto" w:sz="4" w:space="0"/>
              <w:bottom w:val="single" w:color="auto" w:sz="4" w:space="0"/>
              <w:right w:val="single" w:color="auto" w:sz="4" w:space="0"/>
            </w:tcBorders>
            <w:vAlign w:val="center"/>
          </w:tcPr>
          <w:p w14:paraId="41261997">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区域检验平台</w:t>
            </w:r>
          </w:p>
        </w:tc>
        <w:tc>
          <w:tcPr>
            <w:tcW w:w="3006" w:type="dxa"/>
            <w:tcBorders>
              <w:top w:val="single" w:color="auto" w:sz="4" w:space="0"/>
              <w:left w:val="single" w:color="auto" w:sz="4" w:space="0"/>
              <w:bottom w:val="single" w:color="auto" w:sz="4" w:space="0"/>
              <w:right w:val="single" w:color="auto" w:sz="4" w:space="0"/>
            </w:tcBorders>
            <w:vAlign w:val="center"/>
          </w:tcPr>
          <w:p w14:paraId="455888C8">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1套</w:t>
            </w:r>
          </w:p>
        </w:tc>
      </w:tr>
      <w:tr w14:paraId="1A249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462" w:type="dxa"/>
            <w:tcBorders>
              <w:top w:val="single" w:color="auto" w:sz="4" w:space="0"/>
              <w:left w:val="single" w:color="auto" w:sz="4" w:space="0"/>
              <w:bottom w:val="single" w:color="auto" w:sz="4" w:space="0"/>
              <w:right w:val="single" w:color="auto" w:sz="4" w:space="0"/>
            </w:tcBorders>
            <w:vAlign w:val="center"/>
          </w:tcPr>
          <w:p w14:paraId="121F1D28">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w:t>
            </w:r>
          </w:p>
        </w:tc>
        <w:tc>
          <w:tcPr>
            <w:tcW w:w="4791" w:type="dxa"/>
            <w:tcBorders>
              <w:top w:val="single" w:color="auto" w:sz="4" w:space="0"/>
              <w:left w:val="single" w:color="auto" w:sz="4" w:space="0"/>
              <w:bottom w:val="single" w:color="auto" w:sz="4" w:space="0"/>
              <w:right w:val="single" w:color="auto" w:sz="4" w:space="0"/>
            </w:tcBorders>
            <w:vAlign w:val="center"/>
          </w:tcPr>
          <w:p w14:paraId="4F131A8E">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lang w:val="en-US" w:eastAsia="zh-CN" w:bidi="ar-SA"/>
              </w:rPr>
              <w:t>输血质量管理系统</w:t>
            </w:r>
          </w:p>
        </w:tc>
        <w:tc>
          <w:tcPr>
            <w:tcW w:w="3006" w:type="dxa"/>
            <w:tcBorders>
              <w:top w:val="single" w:color="auto" w:sz="4" w:space="0"/>
              <w:left w:val="single" w:color="auto" w:sz="4" w:space="0"/>
              <w:bottom w:val="single" w:color="auto" w:sz="4" w:space="0"/>
              <w:right w:val="single" w:color="auto" w:sz="4" w:space="0"/>
            </w:tcBorders>
            <w:vAlign w:val="center"/>
          </w:tcPr>
          <w:p w14:paraId="41E5EB49">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1套</w:t>
            </w:r>
          </w:p>
        </w:tc>
      </w:tr>
      <w:tr w14:paraId="76B5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462" w:type="dxa"/>
            <w:tcBorders>
              <w:top w:val="single" w:color="auto" w:sz="4" w:space="0"/>
              <w:left w:val="single" w:color="auto" w:sz="4" w:space="0"/>
              <w:bottom w:val="single" w:color="auto" w:sz="4" w:space="0"/>
              <w:right w:val="single" w:color="auto" w:sz="4" w:space="0"/>
            </w:tcBorders>
            <w:vAlign w:val="center"/>
          </w:tcPr>
          <w:p w14:paraId="3EDFC879">
            <w:pPr>
              <w:pageBreakBefore w:val="0"/>
              <w:widowControl w:val="0"/>
              <w:kinsoku/>
              <w:wordWrap/>
              <w:overflowPunct/>
              <w:topLinePunct w:val="0"/>
              <w:autoSpaceDE/>
              <w:autoSpaceDN/>
              <w:bidi w:val="0"/>
              <w:adjustRightInd/>
              <w:snapToGrid/>
              <w:spacing w:line="300" w:lineRule="auto"/>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4</w:t>
            </w:r>
          </w:p>
        </w:tc>
        <w:tc>
          <w:tcPr>
            <w:tcW w:w="4791" w:type="dxa"/>
            <w:tcBorders>
              <w:top w:val="single" w:color="auto" w:sz="4" w:space="0"/>
              <w:left w:val="single" w:color="auto" w:sz="4" w:space="0"/>
              <w:bottom w:val="single" w:color="auto" w:sz="4" w:space="0"/>
              <w:right w:val="single" w:color="auto" w:sz="4" w:space="0"/>
            </w:tcBorders>
            <w:vAlign w:val="center"/>
          </w:tcPr>
          <w:p w14:paraId="7313FA41">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样本分拣机</w:t>
            </w:r>
          </w:p>
        </w:tc>
        <w:tc>
          <w:tcPr>
            <w:tcW w:w="3006" w:type="dxa"/>
            <w:tcBorders>
              <w:top w:val="single" w:color="auto" w:sz="4" w:space="0"/>
              <w:left w:val="single" w:color="auto" w:sz="4" w:space="0"/>
              <w:bottom w:val="single" w:color="auto" w:sz="4" w:space="0"/>
              <w:right w:val="single" w:color="auto" w:sz="4" w:space="0"/>
            </w:tcBorders>
            <w:vAlign w:val="center"/>
          </w:tcPr>
          <w:p w14:paraId="67225987">
            <w:pPr>
              <w:pageBreakBefore w:val="0"/>
              <w:widowControl w:val="0"/>
              <w:kinsoku/>
              <w:wordWrap/>
              <w:overflowPunct/>
              <w:topLinePunct w:val="0"/>
              <w:autoSpaceDE/>
              <w:autoSpaceDN/>
              <w:bidi w:val="0"/>
              <w:adjustRightInd/>
              <w:snapToGrid/>
              <w:spacing w:line="300" w:lineRule="auto"/>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1台</w:t>
            </w:r>
          </w:p>
        </w:tc>
      </w:tr>
    </w:tbl>
    <w:p w14:paraId="19BE2481">
      <w:pPr>
        <w:widowControl/>
        <w:numPr>
          <w:ilvl w:val="0"/>
          <w:numId w:val="0"/>
        </w:numPr>
        <w:wordWrap/>
        <w:topLinePunct w:val="0"/>
        <w:bidi w:val="0"/>
        <w:spacing w:line="300" w:lineRule="auto"/>
        <w:ind w:left="720"/>
        <w:contextualSpacing/>
        <w:jc w:val="left"/>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（三）</w:t>
      </w:r>
      <w:r>
        <w:rPr>
          <w:rFonts w:hint="default" w:ascii="Times New Roman" w:hAnsi="Times New Roman" w:eastAsia="宋体" w:cs="Times New Roman"/>
          <w:b/>
          <w:bCs/>
          <w:color w:val="auto"/>
          <w:kern w:val="0"/>
          <w:sz w:val="24"/>
          <w:szCs w:val="24"/>
          <w:highlight w:val="none"/>
          <w:lang w:val="en-US" w:eastAsia="zh-CN" w:bidi="ar-SA"/>
        </w:rPr>
        <w:t>总体功能要求</w:t>
      </w:r>
    </w:p>
    <w:p w14:paraId="2EC753D1">
      <w:pPr>
        <w:widowControl w:val="0"/>
        <w:numPr>
          <w:ilvl w:val="0"/>
          <w:numId w:val="0"/>
        </w:numPr>
        <w:wordWrap/>
        <w:topLinePunct w:val="0"/>
        <w:bidi w:val="0"/>
        <w:spacing w:line="300" w:lineRule="auto"/>
        <w:ind w:firstLine="482" w:firstLineChars="200"/>
        <w:contextualSpacing/>
        <w:jc w:val="both"/>
        <w:rPr>
          <w:rFonts w:hint="default" w:ascii="Times New Roman" w:hAnsi="Times New Roman" w:eastAsia="宋体" w:cs="Times New Roman"/>
          <w:b/>
          <w:bCs/>
          <w:color w:val="auto"/>
          <w:kern w:val="0"/>
          <w:sz w:val="24"/>
          <w:szCs w:val="24"/>
          <w:highlight w:val="none"/>
          <w:lang w:val="en-US" w:eastAsia="zh-CN" w:bidi="ar"/>
        </w:rPr>
      </w:pPr>
      <w:r>
        <w:rPr>
          <w:rFonts w:hint="default" w:ascii="Times New Roman" w:hAnsi="Times New Roman" w:eastAsia="宋体" w:cs="Times New Roman"/>
          <w:b/>
          <w:bCs/>
          <w:color w:val="auto"/>
          <w:kern w:val="0"/>
          <w:sz w:val="24"/>
          <w:szCs w:val="24"/>
          <w:highlight w:val="none"/>
          <w:lang w:val="en-US" w:eastAsia="zh-CN" w:bidi="ar"/>
        </w:rPr>
        <w:t>实验室管理系统功能总体要求：</w:t>
      </w:r>
    </w:p>
    <w:p w14:paraId="1EAE6450">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医院本部、大新、北城等医共体单位，采用总院与分院同一数据库模式，支持分院部分标本送至本部检验。</w:t>
      </w:r>
    </w:p>
    <w:p w14:paraId="4379ECC7">
      <w:pPr>
        <w:widowControl w:val="0"/>
        <w:numPr>
          <w:ilvl w:val="0"/>
          <w:numId w:val="0"/>
        </w:numPr>
        <w:wordWrap/>
        <w:topLinePunct w:val="0"/>
        <w:bidi w:val="0"/>
        <w:spacing w:line="300" w:lineRule="auto"/>
        <w:ind w:firstLine="480" w:firstLineChars="200"/>
        <w:contextualSpacing/>
        <w:jc w:val="both"/>
        <w:rPr>
          <w:rFonts w:hint="eastAsia"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其他单位外送到本部检验的标本，由张家港市第一人民医院检验科LIS</w:t>
      </w:r>
      <w:r>
        <w:rPr>
          <w:rFonts w:hint="eastAsia" w:ascii="Times New Roman" w:hAnsi="Times New Roman" w:eastAsia="宋体" w:cs="Times New Roman"/>
          <w:color w:val="auto"/>
          <w:kern w:val="0"/>
          <w:sz w:val="24"/>
          <w:szCs w:val="24"/>
          <w:highlight w:val="none"/>
          <w:lang w:val="en-US" w:eastAsia="zh-CN" w:bidi="ar"/>
        </w:rPr>
        <w:t>系统能在该单位分布LIS样本信息登记端口，手工录入病人信息生成条码。</w:t>
      </w:r>
    </w:p>
    <w:p w14:paraId="73C0C24E">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能与医院数据集成平台接口对接（包括基础字典数据、检验申请数据、危急值数据、输血申请单数据、PDA输血执行等）。能与医院自助打印机（PDF）接口、金艾特采血流水线接口、CA接口、数据平台数据上传接口、江苏省平台检验数据接口、输血数据上传接口、江苏省检验互认接口、</w:t>
      </w:r>
      <w:r>
        <w:rPr>
          <w:rFonts w:hint="eastAsia" w:ascii="Times New Roman" w:hAnsi="Times New Roman" w:cs="Times New Roman"/>
          <w:color w:val="auto"/>
          <w:kern w:val="0"/>
          <w:sz w:val="24"/>
          <w:szCs w:val="24"/>
          <w:highlight w:val="none"/>
          <w:lang w:val="en-US" w:eastAsia="zh-CN" w:bidi="ar"/>
        </w:rPr>
        <w:t>张家港检验平台、</w:t>
      </w:r>
      <w:r>
        <w:rPr>
          <w:rFonts w:hint="default" w:ascii="Times New Roman" w:hAnsi="Times New Roman" w:eastAsia="宋体" w:cs="Times New Roman"/>
          <w:color w:val="auto"/>
          <w:kern w:val="0"/>
          <w:sz w:val="24"/>
          <w:szCs w:val="24"/>
          <w:highlight w:val="none"/>
          <w:lang w:val="en-US" w:eastAsia="zh-CN" w:bidi="ar"/>
        </w:rPr>
        <w:t>苏州数据高铁平台接口对接，以及POCT结果</w:t>
      </w:r>
      <w:r>
        <w:rPr>
          <w:rFonts w:hint="eastAsia" w:ascii="Times New Roman" w:hAnsi="Times New Roman" w:cs="Times New Roman"/>
          <w:color w:val="auto"/>
          <w:kern w:val="0"/>
          <w:sz w:val="24"/>
          <w:szCs w:val="24"/>
          <w:highlight w:val="none"/>
          <w:lang w:val="en-US" w:eastAsia="zh-CN" w:bidi="ar"/>
        </w:rPr>
        <w:t>及院内其他结果对接</w:t>
      </w:r>
      <w:r>
        <w:rPr>
          <w:rFonts w:hint="default" w:ascii="Times New Roman" w:hAnsi="Times New Roman" w:eastAsia="宋体" w:cs="Times New Roman"/>
          <w:color w:val="auto"/>
          <w:kern w:val="0"/>
          <w:sz w:val="24"/>
          <w:szCs w:val="24"/>
          <w:highlight w:val="none"/>
          <w:lang w:val="en-US" w:eastAsia="zh-CN" w:bidi="ar"/>
        </w:rPr>
        <w:t>LIS。</w:t>
      </w:r>
    </w:p>
    <w:p w14:paraId="7618C05B">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4</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支持与医院检验科现有仪器接口对接。</w:t>
      </w:r>
    </w:p>
    <w:p w14:paraId="05C1009F">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5</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支持医共体社区医院与本部区域检验平台对接接口。</w:t>
      </w:r>
    </w:p>
    <w:p w14:paraId="10C81225">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6</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实验室管理系统和输血质量管理系统提供最新版本，系统采用B/S架构。（系统全模块交付，所有功能开放）。</w:t>
      </w:r>
    </w:p>
    <w:p w14:paraId="4C328A9F">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7</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采用先进的中间技术，三层网络架构与分布式组件技术，使系统具有更好的可伸缩性、可靠性及易维护性。</w:t>
      </w:r>
    </w:p>
    <w:p w14:paraId="21D4232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8</w:t>
      </w:r>
      <w:r>
        <w:rPr>
          <w:rFonts w:hint="eastAsia" w:ascii="Times New Roman" w:hAnsi="Times New Roman" w:eastAsia="宋体" w:cs="Times New Roman"/>
          <w:i w:val="0"/>
          <w:iCs w:val="0"/>
          <w:color w:val="auto"/>
          <w:kern w:val="0"/>
          <w:sz w:val="24"/>
          <w:szCs w:val="24"/>
          <w:highlight w:val="none"/>
          <w:u w:val="none"/>
          <w:lang w:val="en-US" w:eastAsia="zh-CN" w:bidi="ar"/>
        </w:rPr>
        <w:t>．</w:t>
      </w:r>
      <w:r>
        <w:rPr>
          <w:rFonts w:hint="default" w:ascii="Times New Roman" w:hAnsi="Times New Roman" w:eastAsia="宋体" w:cs="Times New Roman"/>
          <w:i w:val="0"/>
          <w:iCs w:val="0"/>
          <w:color w:val="auto"/>
          <w:kern w:val="0"/>
          <w:sz w:val="24"/>
          <w:szCs w:val="24"/>
          <w:highlight w:val="none"/>
          <w:u w:val="none"/>
          <w:lang w:val="en-US" w:eastAsia="zh-CN" w:bidi="ar"/>
        </w:rPr>
        <w:t>能够完成医院现有</w:t>
      </w:r>
      <w:r>
        <w:rPr>
          <w:rFonts w:hint="eastAsia" w:ascii="Times New Roman" w:hAnsi="Times New Roman" w:eastAsia="宋体" w:cs="Times New Roman"/>
          <w:i w:val="0"/>
          <w:iCs w:val="0"/>
          <w:color w:val="auto"/>
          <w:kern w:val="0"/>
          <w:sz w:val="24"/>
          <w:szCs w:val="24"/>
          <w:highlight w:val="none"/>
          <w:u w:val="none"/>
          <w:lang w:val="en-US" w:eastAsia="zh-CN" w:bidi="ar"/>
        </w:rPr>
        <w:t>LIS</w:t>
      </w:r>
      <w:r>
        <w:rPr>
          <w:rFonts w:hint="default" w:ascii="Times New Roman" w:hAnsi="Times New Roman" w:eastAsia="宋体" w:cs="Times New Roman"/>
          <w:i w:val="0"/>
          <w:iCs w:val="0"/>
          <w:color w:val="auto"/>
          <w:kern w:val="0"/>
          <w:sz w:val="24"/>
          <w:szCs w:val="24"/>
          <w:highlight w:val="none"/>
          <w:u w:val="none"/>
          <w:lang w:val="en-US" w:eastAsia="zh-CN" w:bidi="ar"/>
        </w:rPr>
        <w:t>系统数据迁移到新LIS系统中。</w:t>
      </w:r>
      <w:r>
        <w:rPr>
          <w:rFonts w:hint="eastAsia" w:ascii="Times New Roman" w:hAnsi="Times New Roman" w:eastAsia="宋体" w:cs="Times New Roman"/>
          <w:i w:val="0"/>
          <w:iCs w:val="0"/>
          <w:color w:val="auto"/>
          <w:kern w:val="0"/>
          <w:sz w:val="24"/>
          <w:szCs w:val="24"/>
          <w:highlight w:val="none"/>
          <w:u w:val="none"/>
          <w:lang w:val="en-US" w:eastAsia="zh-CN" w:bidi="ar"/>
        </w:rPr>
        <w:t>后期根据院方需求免费</w:t>
      </w:r>
      <w:r>
        <w:rPr>
          <w:rFonts w:hint="default" w:ascii="Times New Roman" w:hAnsi="Times New Roman" w:eastAsia="宋体" w:cs="Times New Roman"/>
          <w:i w:val="0"/>
          <w:iCs w:val="0"/>
          <w:color w:val="auto"/>
          <w:kern w:val="0"/>
          <w:sz w:val="24"/>
          <w:szCs w:val="24"/>
          <w:highlight w:val="none"/>
          <w:u w:val="none"/>
          <w:lang w:val="en-US" w:eastAsia="zh-CN" w:bidi="ar"/>
        </w:rPr>
        <w:t>支持主流数据库SQL Server、Oracle以及国产数据库部署（如达梦和人大金仓），满足国产化操作系统和数据库的部署。</w:t>
      </w:r>
      <w:r>
        <w:rPr>
          <w:rFonts w:hint="eastAsia" w:ascii="Times New Roman" w:hAnsi="Times New Roman" w:eastAsia="宋体" w:cs="Times New Roman"/>
          <w:b/>
          <w:bCs/>
          <w:i w:val="0"/>
          <w:iCs w:val="0"/>
          <w:color w:val="auto"/>
          <w:kern w:val="0"/>
          <w:sz w:val="24"/>
          <w:szCs w:val="24"/>
          <w:highlight w:val="none"/>
          <w:u w:val="none"/>
          <w:lang w:val="en-US" w:eastAsia="zh-CN" w:bidi="ar"/>
        </w:rPr>
        <w:t>（投标时提供承诺函并加盖公章）</w:t>
      </w:r>
    </w:p>
    <w:p w14:paraId="72AA58A0">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9</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检验全流程：构建先进的信息平台整体架构设计，信息平台整体根据检验流程进行搭建，涉及检验分析前、中、后各环节，及各机构间的信息互联互通、实时交换，并进行信息跟踪和全流程质量监控。功能特点：无纸化微生物、院感申请、耗材管理（可做二级库，对接医院spd系统）、质量指标一键上报、统计功能（看明细，可自定义）、人员管理、文档管理、考试系统、AI诊断、绩效考核管理等精细化管理功能。</w:t>
      </w:r>
    </w:p>
    <w:p w14:paraId="547D2E25">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10</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检验全模块：根据全面质量管理理论5M1E</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人、机、料、法、环、样、测</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等七大元素通过标本管理、人员管理、设备管理、物资管理、文档管理、过程管理实现实验室测量系统的精细化管理，涵盖检验全过程管理、通过移动终端应用、互联网应用等先进技术构建新一代检验信息系统。</w:t>
      </w:r>
    </w:p>
    <w:p w14:paraId="4663263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11</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检验集团化：支持</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院区-检验科室-实验室-分组-仪器-分析单元</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层级管理，在业务上满足区域化医疗、集团化、多院区、多检验科室布局管理等要求。根据医学检验服务流程监管和体系标准化，建立医学检验服务业务流程的监管和体系标准化，从而形成规范、标准的数据存储和表示标准，为实现监管、质量管理、检验的一体化提供基础。同时也可以有效地推进医疗信息的标准机制和标准化体系研究，促进医疗信息的共享。</w:t>
      </w:r>
    </w:p>
    <w:p w14:paraId="5F1B7AFF">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12</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功能：</w:t>
      </w:r>
    </w:p>
    <w:p w14:paraId="431BA71B">
      <w:pPr>
        <w:widowControl w:val="0"/>
        <w:numPr>
          <w:ilvl w:val="0"/>
          <w:numId w:val="0"/>
        </w:numPr>
        <w:wordWrap/>
        <w:topLinePunct w:val="0"/>
        <w:bidi w:val="0"/>
        <w:spacing w:line="300" w:lineRule="auto"/>
        <w:ind w:firstLine="480" w:firstLineChars="200"/>
        <w:contextualSpacing/>
        <w:jc w:val="both"/>
        <w:rPr>
          <w:rFonts w:hint="eastAsia"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Fonts w:hint="eastAsia" w:ascii="Times New Roman" w:hAnsi="Times New Roman" w:cs="Times New Roman"/>
          <w:color w:val="auto"/>
          <w:kern w:val="0"/>
          <w:sz w:val="24"/>
          <w:szCs w:val="24"/>
          <w:highlight w:val="none"/>
          <w:lang w:val="en-US" w:eastAsia="zh-CN" w:bidi="ar"/>
        </w:rPr>
        <w:t>D</w:t>
      </w:r>
      <w:r>
        <w:rPr>
          <w:rFonts w:hint="default" w:ascii="Times New Roman" w:hAnsi="Times New Roman" w:eastAsia="宋体" w:cs="Times New Roman"/>
          <w:color w:val="auto"/>
          <w:kern w:val="0"/>
          <w:sz w:val="24"/>
          <w:szCs w:val="24"/>
          <w:highlight w:val="none"/>
          <w:lang w:val="en-US" w:eastAsia="zh-CN" w:bidi="ar"/>
        </w:rPr>
        <w:t>eepseek</w:t>
      </w:r>
      <w:r>
        <w:rPr>
          <w:rFonts w:hint="eastAsia" w:ascii="Times New Roman" w:hAnsi="Times New Roman" w:cs="Times New Roman"/>
          <w:color w:val="auto"/>
          <w:kern w:val="0"/>
          <w:sz w:val="24"/>
          <w:szCs w:val="24"/>
          <w:highlight w:val="none"/>
          <w:lang w:val="en-US" w:eastAsia="zh-CN" w:bidi="ar"/>
        </w:rPr>
        <w:t>等AI平台</w:t>
      </w:r>
      <w:r>
        <w:rPr>
          <w:rFonts w:hint="default" w:ascii="Times New Roman" w:hAnsi="Times New Roman" w:eastAsia="宋体" w:cs="Times New Roman"/>
          <w:color w:val="auto"/>
          <w:kern w:val="0"/>
          <w:sz w:val="24"/>
          <w:szCs w:val="24"/>
          <w:highlight w:val="none"/>
          <w:lang w:val="en-US" w:eastAsia="zh-CN" w:bidi="ar"/>
        </w:rPr>
        <w:t>对接</w:t>
      </w:r>
      <w:r>
        <w:rPr>
          <w:rFonts w:hint="default" w:ascii="Times New Roman" w:hAnsi="Times New Roman" w:eastAsia="宋体" w:cs="Times New Roman"/>
          <w:color w:val="auto"/>
          <w:kern w:val="0"/>
          <w:sz w:val="24"/>
          <w:szCs w:val="24"/>
          <w:highlight w:val="none"/>
          <w:lang w:val="en-US" w:eastAsia="zh-CN" w:bidi="ar"/>
        </w:rPr>
        <w:t>：报告解读（如病人多份报告，异常信息提醒）</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故障排查</w:t>
      </w:r>
      <w:r>
        <w:rPr>
          <w:rFonts w:hint="eastAsia" w:ascii="Times New Roman" w:hAnsi="Times New Roman" w:eastAsia="宋体" w:cs="Times New Roman"/>
          <w:color w:val="auto"/>
          <w:kern w:val="0"/>
          <w:sz w:val="24"/>
          <w:szCs w:val="24"/>
          <w:highlight w:val="none"/>
          <w:lang w:val="en-US" w:eastAsia="zh-CN" w:bidi="ar"/>
        </w:rPr>
        <w:t>。</w:t>
      </w:r>
    </w:p>
    <w:p w14:paraId="2E13A084">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（2）绩效考核评估：人：多维度评价； 物：科室内部</w:t>
      </w:r>
    </w:p>
    <w:p w14:paraId="56C1A84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（3）特殊项目（管控、预警）</w:t>
      </w:r>
    </w:p>
    <w:p w14:paraId="67A4C30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（4）驾驶舱-智能化展示：可自定义内容或结合其他医院大屏展示的内容（如：样本信息、危急值、医联体样本信息、超时报告等）</w:t>
      </w:r>
    </w:p>
    <w:p w14:paraId="6A3ACCC1">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13</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将检验信息系统和输血质量管理系统与医院现有集成平台、HIS、EMR、pacs、院感、</w:t>
      </w:r>
      <w:r>
        <w:rPr>
          <w:rFonts w:hint="eastAsia" w:ascii="Times New Roman" w:hAnsi="Times New Roman" w:eastAsia="宋体" w:cs="Times New Roman"/>
          <w:color w:val="auto"/>
          <w:kern w:val="0"/>
          <w:sz w:val="24"/>
          <w:szCs w:val="24"/>
          <w:highlight w:val="none"/>
          <w:lang w:val="en-US" w:eastAsia="zh-CN" w:bidi="ar"/>
        </w:rPr>
        <w:t>CA</w:t>
      </w:r>
      <w:r>
        <w:rPr>
          <w:rFonts w:hint="default" w:ascii="Times New Roman" w:hAnsi="Times New Roman" w:eastAsia="宋体" w:cs="Times New Roman"/>
          <w:color w:val="auto"/>
          <w:kern w:val="0"/>
          <w:sz w:val="24"/>
          <w:szCs w:val="24"/>
          <w:highlight w:val="none"/>
          <w:lang w:val="en-US" w:eastAsia="zh-CN" w:bidi="ar"/>
        </w:rPr>
        <w:t>等相关信息系统进行无缝的数据连接，实现将病人的基本信息、收费信息、检验结果信息进行共享。</w:t>
      </w:r>
    </w:p>
    <w:p w14:paraId="259918D9">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14</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系统要求符合国家卫健委对临床检验系统功能规范中的要求，并满足15189评审。</w:t>
      </w:r>
    </w:p>
    <w:p w14:paraId="01BB149F">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15</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系统设计安全可靠，能保证业务的连续性，在用户数和联机仪器不断增多的情况下，能保证网络传输速度，维持性能，并提供切实可行的应急方案。</w:t>
      </w:r>
    </w:p>
    <w:p w14:paraId="188566C4">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16</w:t>
      </w:r>
      <w:r>
        <w:rPr>
          <w:rFonts w:hint="eastAsia" w:ascii="Times New Roman" w:hAnsi="Times New Roman" w:eastAsia="宋体" w:cs="Times New Roman"/>
          <w:i w:val="0"/>
          <w:iCs w:val="0"/>
          <w:color w:val="auto"/>
          <w:kern w:val="0"/>
          <w:sz w:val="24"/>
          <w:szCs w:val="24"/>
          <w:highlight w:val="none"/>
          <w:u w:val="none"/>
          <w:lang w:val="en-US" w:eastAsia="zh-CN" w:bidi="ar"/>
        </w:rPr>
        <w:t>．</w:t>
      </w:r>
      <w:r>
        <w:rPr>
          <w:rFonts w:hint="default" w:ascii="Times New Roman" w:hAnsi="Times New Roman" w:eastAsia="宋体" w:cs="Times New Roman"/>
          <w:i w:val="0"/>
          <w:iCs w:val="0"/>
          <w:color w:val="auto"/>
          <w:kern w:val="0"/>
          <w:sz w:val="24"/>
          <w:szCs w:val="24"/>
          <w:highlight w:val="none"/>
          <w:u w:val="none"/>
          <w:lang w:val="en-US" w:eastAsia="zh-CN" w:bidi="ar"/>
        </w:rPr>
        <w:t>能满足采购人的个性化需求，能够完善升级。十年之内系统免费升级最新版本。</w:t>
      </w:r>
    </w:p>
    <w:p w14:paraId="6CBDE774">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17</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提供系统单机版，确保断网后报告正常发放，不受断网影响。网络恢复后可自动上传至网络版检验信息系统数据库；提供系统分布式本地备份，确保数据库遭受不可逆损害后，系统快速回复，报告正常发放。</w:t>
      </w:r>
    </w:p>
    <w:p w14:paraId="421306F6">
      <w:pPr>
        <w:widowControl w:val="0"/>
        <w:numPr>
          <w:ilvl w:val="0"/>
          <w:numId w:val="0"/>
        </w:numPr>
        <w:wordWrap/>
        <w:topLinePunct w:val="0"/>
        <w:bidi w:val="0"/>
        <w:spacing w:line="300" w:lineRule="auto"/>
        <w:ind w:firstLine="480" w:firstLineChars="200"/>
        <w:contextualSpacing/>
        <w:jc w:val="both"/>
        <w:rPr>
          <w:rFonts w:hint="eastAsia" w:ascii="Times New Roman" w:hAnsi="Times New Roman" w:eastAsia="宋体" w:cs="Times New Roman"/>
          <w:b/>
          <w:bCs/>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18</w:t>
      </w:r>
      <w:r>
        <w:rPr>
          <w:rFonts w:hint="eastAsia" w:ascii="Times New Roman" w:hAnsi="Times New Roman" w:eastAsia="宋体" w:cs="Times New Roman"/>
          <w:i w:val="0"/>
          <w:iCs w:val="0"/>
          <w:color w:val="auto"/>
          <w:kern w:val="0"/>
          <w:sz w:val="24"/>
          <w:szCs w:val="24"/>
          <w:highlight w:val="none"/>
          <w:u w:val="none"/>
          <w:lang w:val="en-US" w:eastAsia="zh-CN" w:bidi="ar"/>
        </w:rPr>
        <w:t>．</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后期根据院方需求，免费</w:t>
      </w:r>
      <w:r>
        <w:rPr>
          <w:rFonts w:hint="default" w:ascii="Times New Roman" w:hAnsi="Times New Roman" w:eastAsia="宋体" w:cs="Times New Roman"/>
          <w:b w:val="0"/>
          <w:bCs w:val="0"/>
          <w:i w:val="0"/>
          <w:iCs w:val="0"/>
          <w:color w:val="auto"/>
          <w:kern w:val="0"/>
          <w:sz w:val="24"/>
          <w:szCs w:val="24"/>
          <w:highlight w:val="none"/>
          <w:u w:val="none"/>
          <w:lang w:val="en-US" w:eastAsia="zh-CN" w:bidi="ar"/>
        </w:rPr>
        <w:t>满足信息化评审要求，包括江苏省健康信息平台数据采集上报、智慧服务3级及以上、国家医疗信息互联互通标准化成熟度五级乙等、ISO15189评级。同时支持国密，符合三级等保以及三甲医院评审信息要求：满足《三级综合医院评审标准实施细则》（2022版及以上）对有关检验信息系统要求的所有条款。</w:t>
      </w:r>
      <w:r>
        <w:rPr>
          <w:rFonts w:hint="eastAsia" w:ascii="Times New Roman" w:hAnsi="Times New Roman" w:eastAsia="宋体" w:cs="Times New Roman"/>
          <w:b/>
          <w:bCs/>
          <w:i w:val="0"/>
          <w:iCs w:val="0"/>
          <w:color w:val="auto"/>
          <w:kern w:val="0"/>
          <w:sz w:val="24"/>
          <w:szCs w:val="24"/>
          <w:highlight w:val="none"/>
          <w:u w:val="none"/>
          <w:lang w:val="en-US" w:eastAsia="zh-CN" w:bidi="ar"/>
        </w:rPr>
        <w:t>（投标时提供承诺函并加盖公章）</w:t>
      </w:r>
    </w:p>
    <w:p w14:paraId="0730637D">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b/>
          <w:bCs/>
          <w:i w:val="0"/>
          <w:iCs w:val="0"/>
          <w:color w:val="auto"/>
          <w:kern w:val="0"/>
          <w:sz w:val="24"/>
          <w:szCs w:val="24"/>
          <w:highlight w:val="none"/>
          <w:u w:val="none"/>
          <w:lang w:val="en-US" w:eastAsia="zh-CN" w:bidi="ar"/>
        </w:rPr>
      </w:pPr>
      <w:r>
        <w:rPr>
          <w:rFonts w:hint="eastAsia" w:ascii="Times New Roman" w:hAnsi="Times New Roman" w:eastAsia="宋体" w:cs="Times New Roman"/>
          <w:b w:val="0"/>
          <w:bCs w:val="0"/>
          <w:i w:val="0"/>
          <w:iCs w:val="0"/>
          <w:color w:val="auto"/>
          <w:kern w:val="0"/>
          <w:sz w:val="24"/>
          <w:szCs w:val="24"/>
          <w:highlight w:val="none"/>
          <w:u w:val="none"/>
          <w:lang w:val="en-US" w:eastAsia="zh-CN" w:bidi="ar"/>
        </w:rPr>
        <w:t>19．中标后承诺能够免费配合院方申请国家电子病历六级评审要求。</w:t>
      </w:r>
      <w:r>
        <w:rPr>
          <w:rFonts w:hint="eastAsia" w:ascii="Times New Roman" w:hAnsi="Times New Roman" w:eastAsia="宋体" w:cs="Times New Roman"/>
          <w:b/>
          <w:bCs/>
          <w:i w:val="0"/>
          <w:iCs w:val="0"/>
          <w:color w:val="auto"/>
          <w:kern w:val="0"/>
          <w:sz w:val="24"/>
          <w:szCs w:val="24"/>
          <w:highlight w:val="none"/>
          <w:u w:val="none"/>
          <w:lang w:val="en-US" w:eastAsia="zh-CN" w:bidi="ar"/>
        </w:rPr>
        <w:t>（投标时提供承诺函并加盖公章）</w:t>
      </w:r>
    </w:p>
    <w:p w14:paraId="6F5F304B">
      <w:pPr>
        <w:widowControl w:val="0"/>
        <w:numPr>
          <w:ilvl w:val="0"/>
          <w:numId w:val="0"/>
        </w:numPr>
        <w:wordWrap/>
        <w:topLinePunct w:val="0"/>
        <w:bidi w:val="0"/>
        <w:spacing w:line="300" w:lineRule="auto"/>
        <w:ind w:firstLine="482" w:firstLineChars="200"/>
        <w:contextualSpacing/>
        <w:jc w:val="both"/>
        <w:rPr>
          <w:rFonts w:hint="eastAsia" w:ascii="Times New Roman" w:hAnsi="Times New Roman" w:eastAsia="宋体" w:cs="Times New Roman"/>
          <w:b/>
          <w:bCs/>
          <w:color w:val="auto"/>
          <w:kern w:val="0"/>
          <w:sz w:val="24"/>
          <w:szCs w:val="24"/>
          <w:highlight w:val="none"/>
          <w:lang w:val="en-US" w:eastAsia="zh-CN" w:bidi="ar"/>
        </w:rPr>
      </w:pPr>
      <w:r>
        <w:rPr>
          <w:rFonts w:hint="default" w:ascii="Times New Roman" w:hAnsi="Times New Roman" w:eastAsia="宋体" w:cs="Times New Roman"/>
          <w:b/>
          <w:bCs/>
          <w:color w:val="auto"/>
          <w:kern w:val="0"/>
          <w:sz w:val="24"/>
          <w:szCs w:val="24"/>
          <w:highlight w:val="none"/>
          <w:lang w:val="en-US" w:eastAsia="zh-CN" w:bidi="ar"/>
        </w:rPr>
        <w:t>区域检验平台系统总体要求：</w:t>
      </w:r>
      <w:r>
        <w:rPr>
          <w:rFonts w:hint="eastAsia" w:ascii="Times New Roman" w:hAnsi="Times New Roman" w:eastAsia="宋体" w:cs="Times New Roman"/>
          <w:b/>
          <w:bCs/>
          <w:color w:val="auto"/>
          <w:kern w:val="0"/>
          <w:sz w:val="24"/>
          <w:szCs w:val="24"/>
          <w:highlight w:val="none"/>
          <w:lang w:val="en-US" w:eastAsia="zh-CN" w:bidi="ar"/>
        </w:rPr>
        <w:t xml:space="preserve"> </w:t>
      </w:r>
    </w:p>
    <w:p w14:paraId="5B5A1FB4">
      <w:pPr>
        <w:pageBreakBefore w:val="0"/>
        <w:widowControl/>
        <w:numPr>
          <w:ilvl w:val="0"/>
          <w:numId w:val="0"/>
        </w:numPr>
        <w:wordWrap/>
        <w:topLinePunct w:val="0"/>
        <w:autoSpaceDE/>
        <w:autoSpaceDN/>
        <w:bidi w:val="0"/>
        <w:snapToGrid/>
        <w:spacing w:beforeAutospacing="0" w:afterAutospacing="0" w:line="300" w:lineRule="auto"/>
        <w:ind w:left="0" w:leftChars="0" w:firstLine="480" w:firstLineChars="200"/>
        <w:contextualSpacing/>
        <w:jc w:val="left"/>
        <w:rPr>
          <w:rFonts w:hint="default" w:ascii="Times New Roman" w:hAnsi="Times New Roman" w:eastAsia="宋体" w:cs="Times New Roman"/>
          <w:bCs w:val="0"/>
          <w:color w:val="auto"/>
          <w:kern w:val="0"/>
          <w:sz w:val="24"/>
          <w:szCs w:val="24"/>
          <w:highlight w:val="none"/>
          <w:lang w:val="en-US" w:eastAsia="zh-CN" w:bidi="ar"/>
        </w:rPr>
      </w:pPr>
      <w:r>
        <w:rPr>
          <w:rFonts w:hint="eastAsia" w:ascii="Times New Roman" w:hAnsi="Times New Roman" w:eastAsia="宋体" w:cs="Times New Roman"/>
          <w:bCs w:val="0"/>
          <w:color w:val="auto"/>
          <w:kern w:val="0"/>
          <w:sz w:val="24"/>
          <w:szCs w:val="24"/>
          <w:highlight w:val="none"/>
          <w:lang w:val="en-US" w:eastAsia="zh-CN" w:bidi="ar"/>
        </w:rPr>
        <w:t>1</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w:t>
      </w:r>
      <w:r>
        <w:rPr>
          <w:rFonts w:hint="default" w:ascii="Times New Roman" w:hAnsi="Times New Roman" w:eastAsia="宋体" w:cs="Times New Roman"/>
          <w:bCs w:val="0"/>
          <w:color w:val="auto"/>
          <w:kern w:val="0"/>
          <w:sz w:val="24"/>
          <w:szCs w:val="24"/>
          <w:highlight w:val="none"/>
          <w:lang w:val="en-US" w:eastAsia="zh-CN" w:bidi="ar"/>
        </w:rPr>
        <w:t>区域</w:t>
      </w:r>
      <w:r>
        <w:rPr>
          <w:rFonts w:hint="eastAsia" w:ascii="Times New Roman" w:hAnsi="Times New Roman" w:eastAsia="宋体" w:cs="Times New Roman"/>
          <w:bCs w:val="0"/>
          <w:color w:val="auto"/>
          <w:kern w:val="0"/>
          <w:sz w:val="24"/>
          <w:szCs w:val="24"/>
          <w:highlight w:val="none"/>
          <w:lang w:val="en-US" w:eastAsia="zh-CN" w:bidi="ar"/>
        </w:rPr>
        <w:t>检验</w:t>
      </w:r>
      <w:r>
        <w:rPr>
          <w:rFonts w:hint="default" w:ascii="Times New Roman" w:hAnsi="Times New Roman" w:eastAsia="宋体" w:cs="Times New Roman"/>
          <w:bCs w:val="0"/>
          <w:color w:val="auto"/>
          <w:kern w:val="0"/>
          <w:sz w:val="24"/>
          <w:szCs w:val="24"/>
          <w:highlight w:val="none"/>
          <w:lang w:val="en-US" w:eastAsia="zh-CN" w:bidi="ar"/>
        </w:rPr>
        <w:t>平台采用B/S架构体现易联易通，实现即联即用，系统的扩展非常容易，区域平台采用三层web结构，数据应用灵活部署，保证安全的同时确保大数据量查询快速、稳定，系统应具有良好的开放性、兼容性和扩展性</w:t>
      </w:r>
      <w:r>
        <w:rPr>
          <w:rFonts w:hint="eastAsia" w:ascii="Times New Roman" w:hAnsi="Times New Roman" w:eastAsia="宋体" w:cs="Times New Roman"/>
          <w:bCs w:val="0"/>
          <w:color w:val="auto"/>
          <w:kern w:val="0"/>
          <w:sz w:val="24"/>
          <w:szCs w:val="24"/>
          <w:highlight w:val="none"/>
          <w:lang w:val="en-US" w:eastAsia="zh-CN" w:bidi="ar"/>
        </w:rPr>
        <w:t>。</w:t>
      </w:r>
    </w:p>
    <w:p w14:paraId="4B64AD02">
      <w:pPr>
        <w:pageBreakBefore w:val="0"/>
        <w:widowControl/>
        <w:numPr>
          <w:ilvl w:val="0"/>
          <w:numId w:val="0"/>
        </w:numPr>
        <w:wordWrap/>
        <w:topLinePunct w:val="0"/>
        <w:autoSpaceDE/>
        <w:autoSpaceDN/>
        <w:bidi w:val="0"/>
        <w:snapToGrid/>
        <w:spacing w:beforeAutospacing="0" w:afterAutospacing="0" w:line="300" w:lineRule="auto"/>
        <w:ind w:left="0" w:leftChars="0" w:firstLine="480" w:firstLineChars="200"/>
        <w:contextualSpacing/>
        <w:jc w:val="left"/>
        <w:rPr>
          <w:rFonts w:hint="default" w:ascii="Times New Roman" w:hAnsi="Times New Roman" w:eastAsia="宋体" w:cs="Times New Roman"/>
          <w:bCs w:val="0"/>
          <w:i/>
          <w:iCs/>
          <w:color w:val="auto"/>
          <w:kern w:val="0"/>
          <w:sz w:val="24"/>
          <w:szCs w:val="24"/>
          <w:highlight w:val="none"/>
          <w:u w:val="single"/>
          <w:lang w:val="en-US" w:eastAsia="zh-CN" w:bidi="ar"/>
        </w:rPr>
      </w:pPr>
      <w:r>
        <w:rPr>
          <w:rFonts w:hint="eastAsia" w:ascii="Times New Roman" w:hAnsi="Times New Roman" w:eastAsia="宋体" w:cs="Times New Roman"/>
          <w:bCs w:val="0"/>
          <w:i/>
          <w:iCs/>
          <w:color w:val="auto"/>
          <w:kern w:val="0"/>
          <w:sz w:val="24"/>
          <w:szCs w:val="24"/>
          <w:highlight w:val="none"/>
          <w:u w:val="single"/>
          <w:lang w:val="en-US" w:eastAsia="zh-CN" w:bidi="ar"/>
        </w:rPr>
        <w:t>2</w:t>
      </w:r>
      <w:r>
        <w:rPr>
          <w:rFonts w:hint="eastAsia" w:ascii="Times New Roman" w:hAnsi="Times New Roman" w:eastAsia="宋体" w:cs="Times New Roman"/>
          <w:b w:val="0"/>
          <w:bCs w:val="0"/>
          <w:i/>
          <w:iCs/>
          <w:color w:val="auto"/>
          <w:kern w:val="0"/>
          <w:sz w:val="24"/>
          <w:szCs w:val="24"/>
          <w:highlight w:val="none"/>
          <w:u w:val="single"/>
          <w:lang w:val="en-US" w:eastAsia="zh-CN" w:bidi="ar"/>
        </w:rPr>
        <w:t>．</w:t>
      </w:r>
      <w:r>
        <w:rPr>
          <w:rFonts w:hint="default" w:ascii="Times New Roman" w:hAnsi="Times New Roman" w:eastAsia="宋体" w:cs="Times New Roman"/>
          <w:bCs w:val="0"/>
          <w:i/>
          <w:iCs/>
          <w:color w:val="auto"/>
          <w:kern w:val="0"/>
          <w:sz w:val="24"/>
          <w:szCs w:val="24"/>
          <w:highlight w:val="none"/>
          <w:u w:val="single"/>
          <w:lang w:val="en-US" w:eastAsia="zh-CN" w:bidi="ar"/>
        </w:rPr>
        <w:t>系统支持跨平台部署能力，支持国产操作系统，国产数据库信创部署</w:t>
      </w:r>
      <w:r>
        <w:rPr>
          <w:rFonts w:hint="eastAsia" w:ascii="Times New Roman" w:hAnsi="Times New Roman" w:eastAsia="宋体" w:cs="Times New Roman"/>
          <w:bCs w:val="0"/>
          <w:i/>
          <w:iCs/>
          <w:color w:val="auto"/>
          <w:kern w:val="0"/>
          <w:sz w:val="24"/>
          <w:szCs w:val="24"/>
          <w:highlight w:val="none"/>
          <w:u w:val="single"/>
          <w:lang w:val="en-US" w:eastAsia="zh-CN" w:bidi="ar"/>
        </w:rPr>
        <w:t>。</w:t>
      </w:r>
    </w:p>
    <w:p w14:paraId="62E96CC0">
      <w:pPr>
        <w:pageBreakBefore w:val="0"/>
        <w:widowControl/>
        <w:numPr>
          <w:ilvl w:val="0"/>
          <w:numId w:val="0"/>
        </w:numPr>
        <w:wordWrap/>
        <w:topLinePunct w:val="0"/>
        <w:autoSpaceDE/>
        <w:autoSpaceDN/>
        <w:bidi w:val="0"/>
        <w:snapToGrid/>
        <w:spacing w:beforeAutospacing="0" w:afterAutospacing="0" w:line="300" w:lineRule="auto"/>
        <w:ind w:left="0" w:leftChars="0" w:firstLine="480" w:firstLineChars="200"/>
        <w:contextualSpacing/>
        <w:jc w:val="left"/>
        <w:rPr>
          <w:rFonts w:hint="default" w:ascii="Times New Roman" w:hAnsi="Times New Roman" w:eastAsia="宋体" w:cs="Times New Roman"/>
          <w:bCs w:val="0"/>
          <w:color w:val="auto"/>
          <w:kern w:val="0"/>
          <w:sz w:val="24"/>
          <w:szCs w:val="24"/>
          <w:highlight w:val="none"/>
          <w:lang w:val="en-US" w:eastAsia="zh-CN" w:bidi="ar"/>
        </w:rPr>
      </w:pPr>
      <w:r>
        <w:rPr>
          <w:rFonts w:hint="eastAsia" w:ascii="Times New Roman" w:hAnsi="Times New Roman" w:eastAsia="宋体" w:cs="Times New Roman"/>
          <w:bCs w:val="0"/>
          <w:color w:val="auto"/>
          <w:kern w:val="0"/>
          <w:sz w:val="24"/>
          <w:szCs w:val="24"/>
          <w:highlight w:val="none"/>
          <w:lang w:val="en-US" w:eastAsia="zh-CN" w:bidi="ar"/>
        </w:rPr>
        <w:t>3</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w:t>
      </w:r>
      <w:r>
        <w:rPr>
          <w:rFonts w:hint="default" w:ascii="Times New Roman" w:hAnsi="Times New Roman" w:eastAsia="宋体" w:cs="Times New Roman"/>
          <w:bCs w:val="0"/>
          <w:color w:val="auto"/>
          <w:kern w:val="0"/>
          <w:sz w:val="24"/>
          <w:szCs w:val="24"/>
          <w:highlight w:val="none"/>
          <w:lang w:val="en-US" w:eastAsia="zh-CN" w:bidi="ar"/>
        </w:rPr>
        <w:t>本次建设的区域检验集成平台，实现区域内标本流转，结果共享等为检验业务协作和共享提供有效的平台，解决区域内送检医疗机构人才和设备不足问题。</w:t>
      </w:r>
    </w:p>
    <w:p w14:paraId="1C6EBD34">
      <w:pPr>
        <w:pageBreakBefore w:val="0"/>
        <w:widowControl/>
        <w:numPr>
          <w:ilvl w:val="0"/>
          <w:numId w:val="0"/>
        </w:numPr>
        <w:wordWrap/>
        <w:topLinePunct w:val="0"/>
        <w:autoSpaceDE/>
        <w:autoSpaceDN/>
        <w:bidi w:val="0"/>
        <w:snapToGrid/>
        <w:spacing w:beforeAutospacing="0" w:afterAutospacing="0" w:line="300" w:lineRule="auto"/>
        <w:ind w:left="0" w:leftChars="0" w:firstLine="480" w:firstLineChars="200"/>
        <w:contextualSpacing/>
        <w:jc w:val="left"/>
        <w:rPr>
          <w:rFonts w:hint="default" w:ascii="Times New Roman" w:hAnsi="Times New Roman" w:eastAsia="宋体" w:cs="Times New Roman"/>
          <w:bCs w:val="0"/>
          <w:color w:val="auto"/>
          <w:kern w:val="0"/>
          <w:sz w:val="24"/>
          <w:szCs w:val="24"/>
          <w:highlight w:val="none"/>
          <w:lang w:val="en-US" w:eastAsia="zh-CN" w:bidi="ar"/>
        </w:rPr>
      </w:pPr>
      <w:r>
        <w:rPr>
          <w:rFonts w:hint="eastAsia" w:ascii="Times New Roman" w:hAnsi="Times New Roman" w:eastAsia="宋体" w:cs="Times New Roman"/>
          <w:bCs w:val="0"/>
          <w:color w:val="auto"/>
          <w:kern w:val="0"/>
          <w:sz w:val="24"/>
          <w:szCs w:val="24"/>
          <w:highlight w:val="none"/>
          <w:lang w:val="en-US" w:eastAsia="zh-CN" w:bidi="ar"/>
        </w:rPr>
        <w:t>4</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w:t>
      </w:r>
      <w:r>
        <w:rPr>
          <w:rFonts w:hint="default" w:ascii="Times New Roman" w:hAnsi="Times New Roman" w:eastAsia="宋体" w:cs="Times New Roman"/>
          <w:bCs w:val="0"/>
          <w:color w:val="auto"/>
          <w:kern w:val="0"/>
          <w:sz w:val="24"/>
          <w:szCs w:val="24"/>
          <w:highlight w:val="none"/>
          <w:lang w:val="en-US" w:eastAsia="zh-CN" w:bidi="ar"/>
        </w:rPr>
        <w:t>建设的区域检验集成平台，以信息化为载体，通过质量控制，统计分析，数据挖掘、基础项目对应、区域条码统一、区域数据交换接口的统一、区域医疗机构的在检验业务上的帮扶和协同，提高区域内整体检验医疗水平。</w:t>
      </w:r>
    </w:p>
    <w:p w14:paraId="28AE055D">
      <w:pPr>
        <w:pageBreakBefore w:val="0"/>
        <w:widowControl/>
        <w:numPr>
          <w:ilvl w:val="0"/>
          <w:numId w:val="0"/>
        </w:numPr>
        <w:wordWrap/>
        <w:topLinePunct w:val="0"/>
        <w:autoSpaceDE/>
        <w:autoSpaceDN/>
        <w:bidi w:val="0"/>
        <w:snapToGrid/>
        <w:spacing w:beforeAutospacing="0" w:afterAutospacing="0" w:line="300" w:lineRule="auto"/>
        <w:ind w:left="0" w:leftChars="0" w:firstLine="480" w:firstLineChars="200"/>
        <w:contextualSpacing/>
        <w:jc w:val="left"/>
        <w:rPr>
          <w:rFonts w:hint="default" w:ascii="Times New Roman" w:hAnsi="Times New Roman" w:eastAsia="宋体" w:cs="Times New Roman"/>
          <w:bCs w:val="0"/>
          <w:color w:val="auto"/>
          <w:kern w:val="0"/>
          <w:sz w:val="24"/>
          <w:szCs w:val="24"/>
          <w:highlight w:val="none"/>
          <w:lang w:val="en-US" w:eastAsia="zh-CN" w:bidi="ar"/>
        </w:rPr>
      </w:pPr>
      <w:r>
        <w:rPr>
          <w:rFonts w:hint="eastAsia" w:ascii="Times New Roman" w:hAnsi="Times New Roman" w:eastAsia="宋体" w:cs="Times New Roman"/>
          <w:bCs w:val="0"/>
          <w:color w:val="auto"/>
          <w:kern w:val="0"/>
          <w:sz w:val="24"/>
          <w:szCs w:val="24"/>
          <w:highlight w:val="none"/>
          <w:lang w:val="en-US" w:eastAsia="zh-CN" w:bidi="ar"/>
        </w:rPr>
        <w:t>5</w:t>
      </w:r>
      <w:r>
        <w:rPr>
          <w:rFonts w:hint="eastAsia" w:ascii="Times New Roman" w:hAnsi="Times New Roman" w:eastAsia="宋体" w:cs="Times New Roman"/>
          <w:b w:val="0"/>
          <w:bCs w:val="0"/>
          <w:i w:val="0"/>
          <w:iCs w:val="0"/>
          <w:color w:val="auto"/>
          <w:kern w:val="0"/>
          <w:sz w:val="24"/>
          <w:szCs w:val="24"/>
          <w:highlight w:val="none"/>
          <w:u w:val="none"/>
          <w:lang w:val="en-US" w:eastAsia="zh-CN" w:bidi="ar"/>
        </w:rPr>
        <w:t>．</w:t>
      </w:r>
      <w:r>
        <w:rPr>
          <w:rFonts w:hint="default" w:ascii="Times New Roman" w:hAnsi="Times New Roman" w:eastAsia="宋体" w:cs="Times New Roman"/>
          <w:bCs w:val="0"/>
          <w:color w:val="auto"/>
          <w:kern w:val="0"/>
          <w:sz w:val="24"/>
          <w:szCs w:val="24"/>
          <w:highlight w:val="none"/>
          <w:lang w:val="en-US" w:eastAsia="zh-CN" w:bidi="ar"/>
        </w:rPr>
        <w:t>系统要符合卫生部对临床检验系统功能规范中的要求，遵循国际标准符合ISO15189、HL7等对检验系统的规范要求，建立医学检验体系标准化、区域化、实现全实验室标准化管理。</w:t>
      </w:r>
    </w:p>
    <w:p w14:paraId="03967429">
      <w:pPr>
        <w:widowControl w:val="0"/>
        <w:numPr>
          <w:ilvl w:val="0"/>
          <w:numId w:val="0"/>
        </w:numPr>
        <w:wordWrap/>
        <w:topLinePunct w:val="0"/>
        <w:bidi w:val="0"/>
        <w:spacing w:line="300" w:lineRule="auto"/>
        <w:ind w:left="0" w:firstLine="482" w:firstLineChars="200"/>
        <w:contextualSpacing/>
        <w:jc w:val="both"/>
        <w:rPr>
          <w:rFonts w:hint="default" w:ascii="Times New Roman" w:hAnsi="Times New Roman" w:eastAsia="宋体" w:cs="Times New Roman"/>
          <w:b/>
          <w:bCs/>
          <w:color w:val="auto"/>
          <w:kern w:val="0"/>
          <w:sz w:val="24"/>
          <w:szCs w:val="24"/>
          <w:highlight w:val="none"/>
          <w:lang w:val="en-US" w:eastAsia="zh-CN" w:bidi="ar"/>
        </w:rPr>
      </w:pPr>
      <w:r>
        <w:rPr>
          <w:rFonts w:hint="default" w:ascii="Times New Roman" w:hAnsi="Times New Roman" w:eastAsia="宋体" w:cs="Times New Roman"/>
          <w:b/>
          <w:bCs/>
          <w:color w:val="auto"/>
          <w:kern w:val="0"/>
          <w:sz w:val="24"/>
          <w:szCs w:val="24"/>
          <w:highlight w:val="none"/>
          <w:lang w:val="en-US" w:eastAsia="zh-CN" w:bidi="ar"/>
        </w:rPr>
        <w:t>输血质量管理系统功能总体要求：</w:t>
      </w:r>
    </w:p>
    <w:p w14:paraId="01442851">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 xml:space="preserve"> 系统采用输血全流程闭环设计，临床医生、临床护士、手术室、医务科、输血科要形成多场景闭环。</w:t>
      </w:r>
    </w:p>
    <w:p w14:paraId="55A1D03A">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支持多院区管理模式，多院区输血科数据独立，支持院区间血液流转。</w:t>
      </w:r>
    </w:p>
    <w:p w14:paraId="43A4DD65">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具有检验标本、用血申请单、血制品闭环管理。</w:t>
      </w:r>
    </w:p>
    <w:p w14:paraId="7A8E3CDF">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4</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具有不良反应多部门联合处置功能。</w:t>
      </w:r>
    </w:p>
    <w:p w14:paraId="36444FF8">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5</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具有单病种管理模块，系统内置单病种知识库、输血适应症规则、输血量评估规则，可以根据临床病人的临床诊断判定单病种，并具有单病种统计报表。</w:t>
      </w:r>
    </w:p>
    <w:p w14:paraId="70E615C1">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6</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具有输血智能评价系统，可与电子病历系统无缝对接，形成医院合理用血评价系统。</w:t>
      </w:r>
    </w:p>
    <w:p w14:paraId="776146B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7</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系统根据业务的需求设立不同的角色：医生、护士、医务科、手术室等，并且可以根据医生的不同的级别分别设置系统使用权限，严防越权使用系统</w:t>
      </w:r>
    </w:p>
    <w:p w14:paraId="7145B07C">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8</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临床用血国家卫健委、省卫健委要求的用血质量指标统计。</w:t>
      </w:r>
    </w:p>
    <w:p w14:paraId="1FFEADFA">
      <w:pPr>
        <w:widowControl w:val="0"/>
        <w:numPr>
          <w:ilvl w:val="0"/>
          <w:numId w:val="0"/>
        </w:numPr>
        <w:wordWrap/>
        <w:topLinePunct w:val="0"/>
        <w:bidi w:val="0"/>
        <w:spacing w:line="300" w:lineRule="auto"/>
        <w:ind w:firstLine="480" w:firstLineChars="200"/>
        <w:contextualSpacing/>
        <w:jc w:val="both"/>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9</w:t>
      </w:r>
      <w:r>
        <w:rPr>
          <w:rFonts w:hint="eastAsia" w:ascii="Times New Roman" w:hAnsi="Times New Roman" w:eastAsia="宋体" w:cs="Times New Roman"/>
          <w:i/>
          <w:iCs/>
          <w:color w:val="auto"/>
          <w:kern w:val="0"/>
          <w:sz w:val="24"/>
          <w:szCs w:val="24"/>
          <w:highlight w:val="none"/>
          <w:u w:val="single"/>
          <w:lang w:val="en-US" w:eastAsia="zh-CN" w:bidi="ar"/>
        </w:rPr>
        <w:t>．</w:t>
      </w:r>
      <w:r>
        <w:rPr>
          <w:rFonts w:hint="default" w:ascii="Times New Roman" w:hAnsi="Times New Roman" w:eastAsia="宋体" w:cs="Times New Roman"/>
          <w:i/>
          <w:iCs/>
          <w:color w:val="auto"/>
          <w:kern w:val="0"/>
          <w:sz w:val="24"/>
          <w:szCs w:val="24"/>
          <w:highlight w:val="none"/>
          <w:u w:val="single"/>
          <w:lang w:val="en-US" w:eastAsia="zh-CN" w:bidi="ar"/>
        </w:rPr>
        <w:t>满足信息化评审要求，包括电子病历系统应用水平分级评价六级及以上、智慧服务</w:t>
      </w:r>
      <w:r>
        <w:rPr>
          <w:rFonts w:hint="eastAsia" w:ascii="Times New Roman" w:hAnsi="Times New Roman" w:cs="Times New Roman"/>
          <w:i/>
          <w:iCs/>
          <w:color w:val="auto"/>
          <w:kern w:val="0"/>
          <w:sz w:val="24"/>
          <w:szCs w:val="24"/>
          <w:highlight w:val="none"/>
          <w:u w:val="single"/>
          <w:lang w:val="en-US" w:eastAsia="zh-CN" w:bidi="ar"/>
        </w:rPr>
        <w:t>三</w:t>
      </w:r>
      <w:r>
        <w:rPr>
          <w:rFonts w:hint="default" w:ascii="Times New Roman" w:hAnsi="Times New Roman" w:eastAsia="宋体" w:cs="Times New Roman"/>
          <w:i/>
          <w:iCs/>
          <w:color w:val="auto"/>
          <w:kern w:val="0"/>
          <w:sz w:val="24"/>
          <w:szCs w:val="24"/>
          <w:highlight w:val="none"/>
          <w:u w:val="single"/>
          <w:lang w:val="en-US" w:eastAsia="zh-CN" w:bidi="ar"/>
        </w:rPr>
        <w:t>级及以上、国家医疗信息互联互通标准化成熟度五级乙等。</w:t>
      </w:r>
    </w:p>
    <w:p w14:paraId="1762F358">
      <w:pPr>
        <w:widowControl w:val="0"/>
        <w:numPr>
          <w:ilvl w:val="0"/>
          <w:numId w:val="0"/>
        </w:numPr>
        <w:wordWrap/>
        <w:topLinePunct w:val="0"/>
        <w:bidi w:val="0"/>
        <w:spacing w:line="300" w:lineRule="auto"/>
        <w:ind w:firstLine="482" w:firstLineChars="200"/>
        <w:contextualSpacing/>
        <w:jc w:val="both"/>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（四）系统技术参数要求</w:t>
      </w:r>
    </w:p>
    <w:p w14:paraId="4DD446D6">
      <w:pPr>
        <w:wordWrap/>
        <w:topLinePunct w:val="0"/>
        <w:bidi w:val="0"/>
        <w:spacing w:line="300" w:lineRule="auto"/>
        <w:ind w:firstLine="241" w:firstLineChars="100"/>
        <w:jc w:val="left"/>
        <w:outlineLvl w:val="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实验室信息管理系统技术参数：</w:t>
      </w:r>
    </w:p>
    <w:tbl>
      <w:tblPr>
        <w:tblStyle w:val="19"/>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410"/>
        <w:gridCol w:w="7404"/>
      </w:tblGrid>
      <w:tr w14:paraId="2448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811" w:type="dxa"/>
            <w:vAlign w:val="center"/>
          </w:tcPr>
          <w:p w14:paraId="2C0487F7">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序号</w:t>
            </w:r>
          </w:p>
        </w:tc>
        <w:tc>
          <w:tcPr>
            <w:tcW w:w="1410" w:type="dxa"/>
            <w:vAlign w:val="center"/>
          </w:tcPr>
          <w:p w14:paraId="4BBEC63C">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技术参数</w:t>
            </w:r>
          </w:p>
        </w:tc>
        <w:tc>
          <w:tcPr>
            <w:tcW w:w="7404" w:type="dxa"/>
            <w:vAlign w:val="center"/>
          </w:tcPr>
          <w:p w14:paraId="11AD2B20">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指标和性能</w:t>
            </w:r>
          </w:p>
        </w:tc>
      </w:tr>
      <w:tr w14:paraId="7B6D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625" w:type="dxa"/>
            <w:gridSpan w:val="3"/>
            <w:vAlign w:val="center"/>
          </w:tcPr>
          <w:p w14:paraId="2B1A12A5">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color w:val="auto"/>
                <w:sz w:val="18"/>
                <w:szCs w:val="18"/>
                <w:highlight w:val="none"/>
              </w:rPr>
            </w:pPr>
            <w:r>
              <w:rPr>
                <w:rFonts w:hint="eastAsia" w:ascii="宋体" w:hAnsi="宋体" w:eastAsia="宋体" w:cs="宋体"/>
                <w:b/>
                <w:bCs/>
                <w:color w:val="auto"/>
                <w:sz w:val="24"/>
                <w:szCs w:val="24"/>
                <w:highlight w:val="none"/>
              </w:rPr>
              <w:t>总体要求</w:t>
            </w:r>
          </w:p>
        </w:tc>
      </w:tr>
      <w:tr w14:paraId="5B9C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B244CA9">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w:t>
            </w:r>
          </w:p>
        </w:tc>
        <w:tc>
          <w:tcPr>
            <w:tcW w:w="1410" w:type="dxa"/>
            <w:vAlign w:val="center"/>
          </w:tcPr>
          <w:p w14:paraId="775F479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标准符合性</w:t>
            </w:r>
          </w:p>
        </w:tc>
        <w:tc>
          <w:tcPr>
            <w:tcW w:w="7404" w:type="dxa"/>
            <w:vAlign w:val="center"/>
          </w:tcPr>
          <w:p w14:paraId="202FB08D">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 ISO15189 实验室认证要求</w:t>
            </w:r>
            <w:r>
              <w:rPr>
                <w:rFonts w:hint="eastAsia" w:ascii="宋体" w:hAnsi="宋体" w:eastAsia="宋体" w:cs="宋体"/>
                <w:color w:val="auto"/>
                <w:kern w:val="0"/>
                <w:sz w:val="24"/>
                <w:szCs w:val="24"/>
                <w:highlight w:val="none"/>
                <w:lang w:eastAsia="zh-CN"/>
              </w:rPr>
              <w:t>。</w:t>
            </w:r>
          </w:p>
          <w:p w14:paraId="2257AE8E">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 三级医院评审相关要求</w:t>
            </w:r>
            <w:r>
              <w:rPr>
                <w:rFonts w:hint="eastAsia" w:ascii="宋体" w:hAnsi="宋体" w:eastAsia="宋体" w:cs="宋体"/>
                <w:color w:val="auto"/>
                <w:kern w:val="0"/>
                <w:sz w:val="24"/>
                <w:szCs w:val="24"/>
                <w:highlight w:val="none"/>
                <w:lang w:eastAsia="zh-CN"/>
              </w:rPr>
              <w:t>。</w:t>
            </w:r>
          </w:p>
          <w:p w14:paraId="0C7B9C99">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满足电子病历分级评审中各级相关要求，并达到</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级</w:t>
            </w:r>
            <w:r>
              <w:rPr>
                <w:rFonts w:hint="eastAsia" w:ascii="宋体" w:hAnsi="宋体" w:eastAsia="宋体" w:cs="宋体"/>
                <w:color w:val="auto"/>
                <w:kern w:val="0"/>
                <w:sz w:val="24"/>
                <w:szCs w:val="24"/>
                <w:highlight w:val="none"/>
                <w:lang w:val="en-US" w:eastAsia="zh-CN"/>
              </w:rPr>
              <w:t>水平。</w:t>
            </w:r>
          </w:p>
          <w:p w14:paraId="4CC9C28A">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满足《全民健康信息互联互通标准化成熟度测评方案》</w:t>
            </w:r>
            <w:r>
              <w:rPr>
                <w:rFonts w:hint="eastAsia" w:ascii="宋体" w:hAnsi="宋体" w:eastAsia="宋体" w:cs="宋体"/>
                <w:color w:val="auto"/>
                <w:kern w:val="0"/>
                <w:sz w:val="24"/>
                <w:szCs w:val="24"/>
                <w:highlight w:val="none"/>
                <w:lang w:val="en-US" w:eastAsia="zh-CN"/>
              </w:rPr>
              <w:t>五级乙等水平。</w:t>
            </w:r>
          </w:p>
          <w:p w14:paraId="08D4F030">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满足《临床</w:t>
            </w:r>
            <w:r>
              <w:rPr>
                <w:rFonts w:hint="eastAsia" w:ascii="宋体" w:hAnsi="宋体" w:eastAsia="宋体" w:cs="宋体"/>
                <w:color w:val="auto"/>
                <w:kern w:val="0"/>
                <w:sz w:val="24"/>
                <w:szCs w:val="24"/>
                <w:highlight w:val="none"/>
                <w:lang w:val="en-US" w:eastAsia="zh-CN"/>
              </w:rPr>
              <w:t>检验专业医疗</w:t>
            </w:r>
            <w:r>
              <w:rPr>
                <w:rFonts w:hint="eastAsia" w:ascii="宋体" w:hAnsi="宋体" w:eastAsia="宋体" w:cs="宋体"/>
                <w:color w:val="auto"/>
                <w:kern w:val="0"/>
                <w:sz w:val="24"/>
                <w:szCs w:val="24"/>
                <w:highlight w:val="none"/>
              </w:rPr>
              <w:t>质量</w:t>
            </w:r>
            <w:r>
              <w:rPr>
                <w:rFonts w:hint="eastAsia" w:ascii="宋体" w:hAnsi="宋体" w:eastAsia="宋体" w:cs="宋体"/>
                <w:color w:val="auto"/>
                <w:kern w:val="0"/>
                <w:sz w:val="24"/>
                <w:szCs w:val="24"/>
                <w:highlight w:val="none"/>
                <w:lang w:val="en-US" w:eastAsia="zh-CN"/>
              </w:rPr>
              <w:t>控制</w:t>
            </w:r>
            <w:r>
              <w:rPr>
                <w:rFonts w:hint="eastAsia" w:ascii="宋体" w:hAnsi="宋体" w:eastAsia="宋体" w:cs="宋体"/>
                <w:color w:val="auto"/>
                <w:kern w:val="0"/>
                <w:sz w:val="24"/>
                <w:szCs w:val="24"/>
                <w:highlight w:val="none"/>
              </w:rPr>
              <w:t>指标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2025年版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p>
          <w:p w14:paraId="006478FA">
            <w:pPr>
              <w:pageBreakBefore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满足《临床实验室定量检验结果的自动审核》WST-616-2018</w:t>
            </w:r>
            <w:r>
              <w:rPr>
                <w:rFonts w:hint="eastAsia" w:ascii="宋体" w:hAnsi="宋体" w:eastAsia="宋体" w:cs="宋体"/>
                <w:color w:val="auto"/>
                <w:kern w:val="0"/>
                <w:sz w:val="24"/>
                <w:szCs w:val="24"/>
                <w:highlight w:val="none"/>
                <w:lang w:eastAsia="zh-CN"/>
              </w:rPr>
              <w:t>。</w:t>
            </w:r>
          </w:p>
          <w:p w14:paraId="7212520D">
            <w:pPr>
              <w:keepNext w:val="0"/>
              <w:keepLines w:val="0"/>
              <w:pageBreakBefore w:val="0"/>
              <w:widowControl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满足临床和实验标准协会（CLSI）AUTO10 临床检验项目结果自动验证</w:t>
            </w:r>
            <w:r>
              <w:rPr>
                <w:rFonts w:hint="eastAsia" w:ascii="宋体" w:hAnsi="宋体" w:eastAsia="宋体" w:cs="宋体"/>
                <w:color w:val="auto"/>
                <w:kern w:val="0"/>
                <w:sz w:val="24"/>
                <w:szCs w:val="24"/>
                <w:highlight w:val="none"/>
                <w:lang w:eastAsia="zh-CN"/>
              </w:rPr>
              <w:t>。</w:t>
            </w:r>
          </w:p>
          <w:p w14:paraId="3E8392BC">
            <w:pPr>
              <w:keepNext w:val="0"/>
              <w:keepLines w:val="0"/>
              <w:pageBreakBefore w:val="0"/>
              <w:widowControl w:val="0"/>
              <w:kinsoku/>
              <w:wordWrap/>
              <w:overflowPunct/>
              <w:topLinePunct w:val="0"/>
              <w:autoSpaceDE/>
              <w:autoSpaceDN/>
              <w:bidi w:val="0"/>
              <w:adjustRightInd/>
              <w:snapToGrid/>
              <w:spacing w:beforeAutospacing="0" w:afterAutospacing="0" w:line="300" w:lineRule="auto"/>
              <w:ind w:firstLine="480" w:firstLineChars="200"/>
              <w:jc w:val="both"/>
              <w:textAlignment w:val="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24"/>
                <w:szCs w:val="24"/>
                <w:highlight w:val="none"/>
              </w:rPr>
              <w:t>满足《全国医院信息化建设标准与规范》</w:t>
            </w:r>
            <w:r>
              <w:rPr>
                <w:rFonts w:hint="eastAsia" w:ascii="宋体" w:hAnsi="宋体" w:eastAsia="宋体" w:cs="宋体"/>
                <w:color w:val="auto"/>
                <w:kern w:val="0"/>
                <w:sz w:val="24"/>
                <w:szCs w:val="24"/>
                <w:highlight w:val="none"/>
                <w:lang w:eastAsia="zh-CN"/>
              </w:rPr>
              <w:t>。</w:t>
            </w:r>
          </w:p>
        </w:tc>
      </w:tr>
      <w:tr w14:paraId="3C43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BB9C2E6">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w:t>
            </w:r>
          </w:p>
        </w:tc>
        <w:tc>
          <w:tcPr>
            <w:tcW w:w="1410" w:type="dxa"/>
            <w:vAlign w:val="center"/>
          </w:tcPr>
          <w:p w14:paraId="0E915F20">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数据库管理</w:t>
            </w:r>
          </w:p>
        </w:tc>
        <w:tc>
          <w:tcPr>
            <w:tcW w:w="7404" w:type="dxa"/>
            <w:vAlign w:val="center"/>
          </w:tcPr>
          <w:p w14:paraId="735F6388">
            <w:pPr>
              <w:pageBreakBefore w:val="0"/>
              <w:kinsoku/>
              <w:wordWrap/>
              <w:overflowPunct/>
              <w:topLinePunct w:val="0"/>
              <w:autoSpaceDE/>
              <w:autoSpaceDN/>
              <w:bidi w:val="0"/>
              <w:adjustRightInd/>
              <w:snapToGrid/>
              <w:spacing w:beforeAutospacing="0" w:afterAutospacing="0" w:line="300" w:lineRule="auto"/>
              <w:ind w:firstLine="480" w:firstLineChars="200"/>
              <w:jc w:val="left"/>
              <w:textAlignment w:val="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24"/>
                <w:szCs w:val="24"/>
                <w:highlight w:val="none"/>
              </w:rPr>
              <w:t>系统采用高可用方案，多数据库分割方案主数据库、日志库、图像库、第三方调阅分析多个库各自存储和使用，保证日常检验科操作的高性能</w:t>
            </w:r>
            <w:r>
              <w:rPr>
                <w:rFonts w:hint="eastAsia" w:ascii="宋体" w:hAnsi="宋体" w:eastAsia="宋体" w:cs="宋体"/>
                <w:color w:val="auto"/>
                <w:kern w:val="0"/>
                <w:sz w:val="24"/>
                <w:szCs w:val="24"/>
                <w:highlight w:val="none"/>
                <w:lang w:eastAsia="zh-CN"/>
              </w:rPr>
              <w:t>。</w:t>
            </w:r>
          </w:p>
        </w:tc>
      </w:tr>
      <w:tr w14:paraId="5200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159A839D">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w:t>
            </w:r>
          </w:p>
        </w:tc>
        <w:tc>
          <w:tcPr>
            <w:tcW w:w="1410" w:type="dxa"/>
            <w:vAlign w:val="center"/>
          </w:tcPr>
          <w:p w14:paraId="783FF0C4">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系统架构</w:t>
            </w:r>
          </w:p>
        </w:tc>
        <w:tc>
          <w:tcPr>
            <w:tcW w:w="7404" w:type="dxa"/>
            <w:vAlign w:val="center"/>
          </w:tcPr>
          <w:p w14:paraId="38E3CA71">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系统采用全B/S架构，满足跨平台、云部署，模块设计，方便流程再造；参数化设计，方便个性化设置。减轻维护与升级的成本和工作量，方便后期系统维护。</w:t>
            </w:r>
          </w:p>
        </w:tc>
      </w:tr>
      <w:tr w14:paraId="1DAE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7A6322D">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w:t>
            </w:r>
          </w:p>
        </w:tc>
        <w:tc>
          <w:tcPr>
            <w:tcW w:w="1410" w:type="dxa"/>
            <w:vAlign w:val="center"/>
          </w:tcPr>
          <w:p w14:paraId="5C2B7662">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系统安全性</w:t>
            </w:r>
          </w:p>
        </w:tc>
        <w:tc>
          <w:tcPr>
            <w:tcW w:w="7404" w:type="dxa"/>
            <w:vAlign w:val="center"/>
          </w:tcPr>
          <w:p w14:paraId="28B70236">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系统设计从架构安全，网络安全，数据安全，传输安全，存储安全等几个角度进行了精细化设计，完全符合三级等保要求。</w:t>
            </w:r>
          </w:p>
          <w:p w14:paraId="261B659B">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用户安全保障：全程记录登录、使用日志记录；自动屏幕保护功能；定期密码更新；密码复杂度校验</w:t>
            </w:r>
            <w:r>
              <w:rPr>
                <w:rFonts w:hint="eastAsia" w:ascii="宋体" w:hAnsi="宋体" w:eastAsia="宋体" w:cs="宋体"/>
                <w:color w:val="auto"/>
                <w:kern w:val="0"/>
                <w:sz w:val="24"/>
                <w:szCs w:val="24"/>
                <w:highlight w:val="none"/>
                <w:lang w:eastAsia="zh-CN"/>
              </w:rPr>
              <w:t>。</w:t>
            </w:r>
          </w:p>
          <w:p w14:paraId="1A903EF0">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color w:val="auto"/>
                <w:kern w:val="0"/>
                <w:sz w:val="24"/>
                <w:szCs w:val="24"/>
                <w:highlight w:val="none"/>
              </w:rPr>
              <w:t>产品通过了第三方源代码审计安全测评</w:t>
            </w:r>
            <w:r>
              <w:rPr>
                <w:rFonts w:hint="eastAsia" w:ascii="宋体" w:hAnsi="宋体" w:eastAsia="宋体" w:cs="宋体"/>
                <w:color w:val="auto"/>
                <w:kern w:val="0"/>
                <w:sz w:val="24"/>
                <w:szCs w:val="24"/>
                <w:highlight w:val="none"/>
                <w:lang w:eastAsia="zh-CN"/>
              </w:rPr>
              <w:t>。</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需提供具有CMA标识的检测报告）</w:t>
            </w:r>
          </w:p>
        </w:tc>
      </w:tr>
      <w:tr w14:paraId="6305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13E3CB0">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5</w:t>
            </w:r>
          </w:p>
        </w:tc>
        <w:tc>
          <w:tcPr>
            <w:tcW w:w="1410" w:type="dxa"/>
            <w:vAlign w:val="center"/>
          </w:tcPr>
          <w:p w14:paraId="6D23101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性能要求</w:t>
            </w:r>
          </w:p>
        </w:tc>
        <w:tc>
          <w:tcPr>
            <w:tcW w:w="7404" w:type="dxa"/>
            <w:vAlign w:val="center"/>
          </w:tcPr>
          <w:p w14:paraId="0AB4AE22">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kern w:val="0"/>
                <w:sz w:val="24"/>
                <w:szCs w:val="24"/>
                <w:highlight w:val="none"/>
              </w:rPr>
              <w:t>▲</w:t>
            </w:r>
            <w:r>
              <w:rPr>
                <w:rFonts w:hint="eastAsia" w:ascii="宋体" w:hAnsi="宋体" w:eastAsia="宋体" w:cs="宋体"/>
                <w:color w:val="auto"/>
                <w:kern w:val="0"/>
                <w:sz w:val="24"/>
                <w:szCs w:val="24"/>
                <w:highlight w:val="none"/>
              </w:rPr>
              <w:t>满足500用户并发操作切换仪器响应时间小于2秒；切换样本接口20个项目内响应时间小于0.3秒；切换样本接口50个项目内响应时间小于0.5秒；切换样本接口(有图形样本) 响应时间小于0.5秒；大数量测试-标本签收接口响应时间小于0.3秒；大数量测试-列表刷新接口(3000样本)响应时间小于1秒；大数量测试-列表刷新接口(5000样本)响应时间小于2秒；大数量测试-报告审核接口响应时间小于0.5秒</w:t>
            </w:r>
            <w:r>
              <w:rPr>
                <w:rFonts w:hint="eastAsia" w:ascii="宋体" w:hAnsi="宋体" w:eastAsia="宋体" w:cs="宋体"/>
                <w:color w:val="auto"/>
                <w:kern w:val="0"/>
                <w:sz w:val="24"/>
                <w:szCs w:val="24"/>
                <w:highlight w:val="none"/>
                <w:lang w:eastAsia="zh-CN"/>
              </w:rPr>
              <w:t>。</w:t>
            </w:r>
          </w:p>
          <w:p w14:paraId="12A515D1">
            <w:pPr>
              <w:pageBreakBefore w:val="0"/>
              <w:kinsoku/>
              <w:wordWrap/>
              <w:overflowPunct/>
              <w:topLinePunct w:val="0"/>
              <w:autoSpaceDE/>
              <w:autoSpaceDN/>
              <w:bidi w:val="0"/>
              <w:adjustRightInd/>
              <w:snapToGrid/>
              <w:spacing w:beforeAutospacing="0" w:afterAutospacing="0" w:line="300" w:lineRule="auto"/>
              <w:ind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需提供具有CMA标识的检测报告）</w:t>
            </w:r>
          </w:p>
        </w:tc>
      </w:tr>
      <w:tr w14:paraId="0D8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4EF3C5FE">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6</w:t>
            </w:r>
          </w:p>
        </w:tc>
        <w:tc>
          <w:tcPr>
            <w:tcW w:w="1410" w:type="dxa"/>
            <w:vAlign w:val="center"/>
          </w:tcPr>
          <w:p w14:paraId="00B373D1">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系统部署</w:t>
            </w:r>
          </w:p>
        </w:tc>
        <w:tc>
          <w:tcPr>
            <w:tcW w:w="7404" w:type="dxa"/>
            <w:vAlign w:val="center"/>
          </w:tcPr>
          <w:p w14:paraId="41AAAFC1">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为了保障系统资源使用效率与系统日常业务稳定性，系统需支持K8S容器化部署、可自动伸缩、蓝绿发布、金丝雀发布</w:t>
            </w:r>
            <w:r>
              <w:rPr>
                <w:rFonts w:hint="eastAsia" w:ascii="宋体" w:hAnsi="宋体" w:eastAsia="宋体" w:cs="宋体"/>
                <w:color w:val="auto"/>
                <w:kern w:val="0"/>
                <w:sz w:val="24"/>
                <w:szCs w:val="24"/>
                <w:highlight w:val="none"/>
                <w:lang w:eastAsia="zh-CN"/>
              </w:rPr>
              <w:t>。</w:t>
            </w:r>
          </w:p>
        </w:tc>
      </w:tr>
      <w:tr w14:paraId="1C82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2B49B202">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7</w:t>
            </w:r>
          </w:p>
        </w:tc>
        <w:tc>
          <w:tcPr>
            <w:tcW w:w="1410" w:type="dxa"/>
            <w:vAlign w:val="center"/>
          </w:tcPr>
          <w:p w14:paraId="6DA5F75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场景化交互体验</w:t>
            </w:r>
          </w:p>
        </w:tc>
        <w:tc>
          <w:tcPr>
            <w:tcW w:w="7404" w:type="dxa"/>
            <w:vAlign w:val="center"/>
          </w:tcPr>
          <w:p w14:paraId="4EA95712">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角色场景：按照角色进行模块和场景划分，不同角色登录后需要针对不同角色定制不同的首页</w:t>
            </w:r>
            <w:r>
              <w:rPr>
                <w:rFonts w:hint="eastAsia" w:ascii="宋体" w:hAnsi="宋体" w:eastAsia="宋体" w:cs="宋体"/>
                <w:color w:val="auto"/>
                <w:kern w:val="0"/>
                <w:sz w:val="24"/>
                <w:szCs w:val="24"/>
                <w:highlight w:val="none"/>
                <w:lang w:eastAsia="zh-CN"/>
              </w:rPr>
              <w:t>。</w:t>
            </w:r>
          </w:p>
          <w:p w14:paraId="308EBB02">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首页场景化交互：针对不同用户角色聚合常用的数据信息和功能操作，通过数据激发动力和首页快捷工作台高效执行，以此来实现业务管理目标的高效达成，包括门诊采样、标本接收、检验工作站、微生物、质控管理、报告中心、耗材管理、设备管理、文档管理、人员管理、考试培训等角色场景和首页，首页上任何数据聚合指标鼠标点击即可进入相关处理画面</w:t>
            </w:r>
            <w:r>
              <w:rPr>
                <w:rFonts w:hint="eastAsia" w:ascii="宋体" w:hAnsi="宋体" w:eastAsia="宋体" w:cs="宋体"/>
                <w:color w:val="auto"/>
                <w:kern w:val="0"/>
                <w:sz w:val="24"/>
                <w:szCs w:val="24"/>
                <w:highlight w:val="none"/>
                <w:lang w:eastAsia="zh-CN"/>
              </w:rPr>
              <w:t>。</w:t>
            </w:r>
          </w:p>
        </w:tc>
      </w:tr>
      <w:tr w14:paraId="1FD1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076B14EB">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8</w:t>
            </w:r>
          </w:p>
        </w:tc>
        <w:tc>
          <w:tcPr>
            <w:tcW w:w="1410" w:type="dxa"/>
            <w:vAlign w:val="center"/>
          </w:tcPr>
          <w:p w14:paraId="52056F6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权限管理</w:t>
            </w:r>
          </w:p>
        </w:tc>
        <w:tc>
          <w:tcPr>
            <w:tcW w:w="7404" w:type="dxa"/>
            <w:vAlign w:val="center"/>
          </w:tcPr>
          <w:p w14:paraId="03BA3CF0">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自定义权限:每个操作从功能、时间、空间设置不同权限；权限可以分组分角色进行管理</w:t>
            </w:r>
            <w:r>
              <w:rPr>
                <w:rFonts w:hint="eastAsia" w:ascii="宋体" w:hAnsi="宋体" w:eastAsia="宋体" w:cs="宋体"/>
                <w:color w:val="auto"/>
                <w:kern w:val="0"/>
                <w:sz w:val="24"/>
                <w:szCs w:val="24"/>
                <w:highlight w:val="none"/>
                <w:lang w:eastAsia="zh-CN"/>
              </w:rPr>
              <w:t>。</w:t>
            </w:r>
          </w:p>
          <w:p w14:paraId="52B0CAD5">
            <w:pPr>
              <w:pageBreakBefore w:val="0"/>
              <w:kinsoku/>
              <w:wordWrap/>
              <w:overflowPunct/>
              <w:topLinePunct w:val="0"/>
              <w:autoSpaceDE/>
              <w:autoSpaceDN/>
              <w:bidi w:val="0"/>
              <w:adjustRightInd/>
              <w:snapToGrid/>
              <w:spacing w:beforeAutospacing="0" w:afterAutospacing="0" w:line="30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系统授权：按照用户到角色，角色权限可以细化到菜单，按钮，对具体功能授权又可以细化到具体的业务组甚至到最终的每台仪器上。</w:t>
            </w:r>
          </w:p>
          <w:p w14:paraId="0CACA75F">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仪器相关操作权限可以通过培训、考试、上岗联动授予，并存在有效期</w:t>
            </w:r>
            <w:r>
              <w:rPr>
                <w:rFonts w:hint="eastAsia" w:ascii="宋体" w:hAnsi="宋体" w:eastAsia="宋体" w:cs="宋体"/>
                <w:color w:val="auto"/>
                <w:kern w:val="0"/>
                <w:sz w:val="24"/>
                <w:szCs w:val="24"/>
                <w:highlight w:val="none"/>
                <w:lang w:eastAsia="zh-CN"/>
              </w:rPr>
              <w:t>。</w:t>
            </w:r>
          </w:p>
          <w:p w14:paraId="1698E623">
            <w:pPr>
              <w:pageBreakBefore w:val="0"/>
              <w:kinsoku/>
              <w:wordWrap/>
              <w:overflowPunct/>
              <w:topLinePunct w:val="0"/>
              <w:autoSpaceDE/>
              <w:autoSpaceDN/>
              <w:bidi w:val="0"/>
              <w:adjustRightInd/>
              <w:snapToGrid/>
              <w:spacing w:beforeAutospacing="0" w:afterAutospacing="0" w:line="30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系统选项：按照全局选项，工作组选项，报告单元选项，仪器选项和本地选项联合使用，使得一套产品在不同的医院，检验组，仪器，电脑上产生不同显示效果，控制不同的工作习惯，适应不同的工作流程等。</w:t>
            </w:r>
          </w:p>
        </w:tc>
      </w:tr>
      <w:tr w14:paraId="2B45E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F1A2619">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9</w:t>
            </w:r>
          </w:p>
        </w:tc>
        <w:tc>
          <w:tcPr>
            <w:tcW w:w="1410" w:type="dxa"/>
            <w:vAlign w:val="center"/>
          </w:tcPr>
          <w:p w14:paraId="33EB9424">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系统综合描述</w:t>
            </w:r>
          </w:p>
        </w:tc>
        <w:tc>
          <w:tcPr>
            <w:tcW w:w="7404" w:type="dxa"/>
            <w:vAlign w:val="center"/>
          </w:tcPr>
          <w:p w14:paraId="1EB1A57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检验全流程：构建先进的信息平台整体架构设计，信息平台整体根据检验流程进行搭建，涉及检验分析前、中、后各环节，及各机构间的信息互联互通、实时交换，并进行信息跟踪和全流程质量监控。</w:t>
            </w:r>
          </w:p>
          <w:p w14:paraId="71DBDA2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检验全模块：根据全面质量管理理论5M1E</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人、机、料、法、环、样、测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等七大元素通过人员管理、标本管理、人员管理、设备管理、物资管理、文档管理、过程管理实现了实验室测量系统的精细化管理，涵盖检验全过程管理、通过移动终端应用、互联网应用等先进技术构建新一代检验信息系统。</w:t>
            </w:r>
          </w:p>
          <w:p w14:paraId="5C9EA5A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检验集团化：支持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院区-检验科室-实验室-分组-仪器-分析单元</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层级管理，在业务上满足区域化医疗、集团化、多院区、多检验科室布局管理等要求。根据医学检验服务流程监管和体系标准化，建立医学检验服务业务流程的监管和体系标准化，从而形成规范、标准的数据存储和表示标准，为实现监管、质量管理、检验的一体化提供基础。同时也可以有效地推进医疗信息的标准机制和标准化体系研究，促进医疗信息的共享。</w:t>
            </w:r>
          </w:p>
        </w:tc>
      </w:tr>
      <w:tr w14:paraId="7618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811" w:type="dxa"/>
            <w:vAlign w:val="center"/>
          </w:tcPr>
          <w:p w14:paraId="747B0C60">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10</w:t>
            </w:r>
          </w:p>
        </w:tc>
        <w:tc>
          <w:tcPr>
            <w:tcW w:w="1410" w:type="dxa"/>
            <w:vAlign w:val="center"/>
          </w:tcPr>
          <w:p w14:paraId="55A4906E">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数据移植</w:t>
            </w:r>
          </w:p>
        </w:tc>
        <w:tc>
          <w:tcPr>
            <w:tcW w:w="7404" w:type="dxa"/>
            <w:vAlign w:val="center"/>
          </w:tcPr>
          <w:p w14:paraId="2F515B0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专有数据移植功能模块，可以通过配置实现原有LIS数据对照、数据整理、数据转换、数据移植,</w:t>
            </w:r>
          </w:p>
          <w:p w14:paraId="5B718BA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专有移植模块，可以实现冷热数据、上线前后、工作高峰与非高峰采取不同策略移植以确保新旧系统平稳切换</w:t>
            </w:r>
          </w:p>
        </w:tc>
      </w:tr>
      <w:tr w14:paraId="3A97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6802663">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11</w:t>
            </w:r>
          </w:p>
        </w:tc>
        <w:tc>
          <w:tcPr>
            <w:tcW w:w="1410" w:type="dxa"/>
            <w:vAlign w:val="center"/>
          </w:tcPr>
          <w:p w14:paraId="4D079067">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单机版应急</w:t>
            </w:r>
          </w:p>
        </w:tc>
        <w:tc>
          <w:tcPr>
            <w:tcW w:w="7404" w:type="dxa"/>
            <w:vAlign w:val="center"/>
          </w:tcPr>
          <w:p w14:paraId="4840886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color w:val="auto"/>
                <w:kern w:val="0"/>
                <w:sz w:val="24"/>
                <w:szCs w:val="24"/>
                <w:highlight w:val="none"/>
              </w:rPr>
              <w:t>为了应对医院网络突发状况、保障检验流程连续性和提升应急响应能力，应支持在服务器或网络故障能及时切换到单机操作，单机版支持仪器对接、报告审核、报告打印功能，在故障恢复后能将单机版数据上传到网络版LIS系统，单机版支持一键式安装部署，操作简单易用。</w:t>
            </w:r>
          </w:p>
          <w:p w14:paraId="00A61D2F">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需提供方案和软件应用截图，单机版支持一键式安装部署，提供已安装单机版系统环境备查</w:t>
            </w:r>
            <w:r>
              <w:rPr>
                <w:rFonts w:hint="eastAsia" w:ascii="宋体" w:hAnsi="宋体" w:eastAsia="宋体" w:cs="宋体"/>
                <w:b/>
                <w:bCs/>
                <w:color w:val="auto"/>
                <w:kern w:val="0"/>
                <w:sz w:val="24"/>
                <w:szCs w:val="24"/>
                <w:highlight w:val="none"/>
                <w:lang w:eastAsia="zh-CN"/>
              </w:rPr>
              <w:t>）</w:t>
            </w:r>
          </w:p>
        </w:tc>
      </w:tr>
      <w:tr w14:paraId="65EA4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191BC322">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12</w:t>
            </w:r>
          </w:p>
        </w:tc>
        <w:tc>
          <w:tcPr>
            <w:tcW w:w="1410" w:type="dxa"/>
            <w:vAlign w:val="center"/>
          </w:tcPr>
          <w:p w14:paraId="03E36D05">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系统升级</w:t>
            </w:r>
          </w:p>
        </w:tc>
        <w:tc>
          <w:tcPr>
            <w:tcW w:w="7404" w:type="dxa"/>
            <w:vAlign w:val="center"/>
          </w:tcPr>
          <w:p w14:paraId="79A258D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应用服务支持一键热升级，任意客户端上传升级，应用服务器自动部署升级，不需要停机或者暂停系统，实现热升级和无缝升级。</w:t>
            </w:r>
          </w:p>
          <w:p w14:paraId="6302A24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每次升级过程中，均自动生成上一版本系统的备份压缩包，升级版本出现问题可以随时一键回滚前一版本，也支持回退到其他版本</w:t>
            </w:r>
          </w:p>
        </w:tc>
      </w:tr>
      <w:tr w14:paraId="3C34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8FC6BEC">
            <w:pPr>
              <w:pageBreakBefore w:val="0"/>
              <w:widowControl/>
              <w:numPr>
                <w:ilvl w:val="0"/>
                <w:numId w:val="0"/>
              </w:numPr>
              <w:tabs>
                <w:tab w:val="center" w:pos="541"/>
              </w:tabs>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13</w:t>
            </w:r>
          </w:p>
        </w:tc>
        <w:tc>
          <w:tcPr>
            <w:tcW w:w="1410" w:type="dxa"/>
            <w:vAlign w:val="center"/>
          </w:tcPr>
          <w:p w14:paraId="77ADBD62">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分布式备份</w:t>
            </w:r>
          </w:p>
        </w:tc>
        <w:tc>
          <w:tcPr>
            <w:tcW w:w="7404" w:type="dxa"/>
            <w:vAlign w:val="center"/>
          </w:tcPr>
          <w:p w14:paraId="2AA6466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支持分布式备份（在数据库遭遇极端情况如勒索病毒，硬盘损坏、火灾导致数据库以及传统的备份文件全部损坏，依然可以在两小时内快速恢复工作）形成本地备份、异地备份、分布式备份三级保护体系</w:t>
            </w:r>
          </w:p>
        </w:tc>
      </w:tr>
      <w:tr w14:paraId="0F442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F4B20FB">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14</w:t>
            </w:r>
          </w:p>
        </w:tc>
        <w:tc>
          <w:tcPr>
            <w:tcW w:w="1410" w:type="dxa"/>
            <w:vAlign w:val="center"/>
          </w:tcPr>
          <w:p w14:paraId="44C14EAD">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断网重连</w:t>
            </w:r>
          </w:p>
        </w:tc>
        <w:tc>
          <w:tcPr>
            <w:tcW w:w="7404" w:type="dxa"/>
            <w:vAlign w:val="top"/>
          </w:tcPr>
          <w:p w14:paraId="3DB809C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支持系统断网自动重连，某些客户（或部分区域）存在网络不稳定（如：频繁断网）的情况下，断网后软件自动提醒、网络恢复后无须重启软件确保工作延续不中断</w:t>
            </w:r>
          </w:p>
        </w:tc>
      </w:tr>
      <w:tr w14:paraId="6547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625" w:type="dxa"/>
            <w:gridSpan w:val="3"/>
            <w:vAlign w:val="center"/>
          </w:tcPr>
          <w:p w14:paraId="5CC1613A">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sz w:val="18"/>
                <w:szCs w:val="18"/>
                <w:highlight w:val="none"/>
              </w:rPr>
            </w:pPr>
            <w:r>
              <w:rPr>
                <w:rFonts w:hint="eastAsia" w:ascii="宋体" w:hAnsi="宋体" w:eastAsia="宋体" w:cs="宋体"/>
                <w:b/>
                <w:color w:val="auto"/>
                <w:sz w:val="24"/>
                <w:szCs w:val="24"/>
                <w:highlight w:val="none"/>
              </w:rPr>
              <w:t>主体业务</w:t>
            </w:r>
          </w:p>
        </w:tc>
      </w:tr>
      <w:tr w14:paraId="09B2F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811" w:type="dxa"/>
            <w:vMerge w:val="restart"/>
            <w:vAlign w:val="center"/>
          </w:tcPr>
          <w:p w14:paraId="1EE2F54D">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18"/>
                <w:szCs w:val="18"/>
                <w:highlight w:val="none"/>
                <w:lang w:val="en-US" w:eastAsia="zh-CN" w:bidi="ar-SA"/>
              </w:rPr>
            </w:pPr>
            <w:r>
              <w:rPr>
                <w:rFonts w:hint="eastAsia" w:ascii="宋体" w:hAnsi="宋体" w:eastAsia="宋体" w:cs="宋体"/>
                <w:b/>
                <w:bCs/>
                <w:color w:val="auto"/>
                <w:kern w:val="0"/>
                <w:sz w:val="24"/>
                <w:szCs w:val="24"/>
                <w:highlight w:val="none"/>
                <w:lang w:val="en-US" w:eastAsia="zh-CN" w:bidi="ar-SA"/>
              </w:rPr>
              <w:t>1</w:t>
            </w:r>
          </w:p>
        </w:tc>
        <w:tc>
          <w:tcPr>
            <w:tcW w:w="1410" w:type="dxa"/>
            <w:vMerge w:val="restart"/>
            <w:vAlign w:val="center"/>
          </w:tcPr>
          <w:p w14:paraId="7A3B6B6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智慧采血管理</w:t>
            </w:r>
          </w:p>
        </w:tc>
        <w:tc>
          <w:tcPr>
            <w:tcW w:w="7404" w:type="dxa"/>
            <w:vAlign w:val="center"/>
          </w:tcPr>
          <w:p w14:paraId="0E259CC6">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第三方融合和集成</w:t>
            </w:r>
            <w:r>
              <w:rPr>
                <w:rFonts w:hint="eastAsia" w:ascii="宋体" w:hAnsi="宋体" w:eastAsia="宋体" w:cs="宋体"/>
                <w:color w:val="auto"/>
                <w:kern w:val="0"/>
                <w:sz w:val="24"/>
                <w:szCs w:val="24"/>
                <w:highlight w:val="none"/>
              </w:rPr>
              <w:t>：</w:t>
            </w:r>
          </w:p>
          <w:p w14:paraId="7FA6EF8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门诊采集支持与HIS系统嵌入式集成，接收HIS检验申请信息、病人信息及费用信息等；</w:t>
            </w:r>
          </w:p>
          <w:p w14:paraId="148193F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支持与自动化采血流水线的集成</w:t>
            </w:r>
          </w:p>
          <w:p w14:paraId="1372200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根据医院需要集成第三方采血排队叫号系统</w:t>
            </w:r>
          </w:p>
        </w:tc>
      </w:tr>
      <w:tr w14:paraId="096C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811" w:type="dxa"/>
            <w:vMerge w:val="continue"/>
            <w:vAlign w:val="center"/>
          </w:tcPr>
          <w:p w14:paraId="025E2218">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10B7E95">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005CC6F0">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首页面板：</w:t>
            </w:r>
          </w:p>
          <w:p w14:paraId="60FD8FD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具备门诊采样岗位首页面板显示功能，可以显示我的采集数、总采集数、送出数、退回标本，曲线行驶展现工作强度趋势对比图，本月退回原因统计图标展示</w:t>
            </w:r>
          </w:p>
        </w:tc>
      </w:tr>
      <w:tr w14:paraId="1BFD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11" w:type="dxa"/>
            <w:vMerge w:val="continue"/>
            <w:vAlign w:val="center"/>
          </w:tcPr>
          <w:p w14:paraId="54EF5A77">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2B10CCB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0827C95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条码管理：</w:t>
            </w:r>
          </w:p>
          <w:p w14:paraId="2381605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支持打印条码与预置条码两种模式；</w:t>
            </w:r>
          </w:p>
          <w:p w14:paraId="372914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支持条码重打</w:t>
            </w:r>
          </w:p>
          <w:p w14:paraId="4FC9D0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支持门诊取消采样</w:t>
            </w:r>
          </w:p>
        </w:tc>
      </w:tr>
      <w:tr w14:paraId="3E2B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4DEF079E">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4E17C8A5">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0624A1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智能回执单管理:</w:t>
            </w:r>
          </w:p>
          <w:p w14:paraId="0EC8154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取报告时间根据采集时间精确计算；</w:t>
            </w:r>
          </w:p>
          <w:p w14:paraId="4E47079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可设置节假日，取报告时间自动过滤节假日顺延；</w:t>
            </w:r>
          </w:p>
          <w:p w14:paraId="10CE1EE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回单可打印一维码、二维码。</w:t>
            </w:r>
          </w:p>
        </w:tc>
      </w:tr>
      <w:tr w14:paraId="1335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1" w:type="dxa"/>
            <w:vMerge w:val="continue"/>
            <w:vAlign w:val="center"/>
          </w:tcPr>
          <w:p w14:paraId="57FC6A5D">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1C9F29D3">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36F5ED06">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门诊标本流转：</w:t>
            </w:r>
          </w:p>
          <w:p w14:paraId="4E3AF9E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门诊采样确认</w:t>
            </w:r>
          </w:p>
          <w:p w14:paraId="379FADD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门诊标本送出</w:t>
            </w:r>
          </w:p>
        </w:tc>
      </w:tr>
      <w:tr w14:paraId="3B9B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11" w:type="dxa"/>
            <w:vMerge w:val="continue"/>
            <w:vAlign w:val="center"/>
          </w:tcPr>
          <w:p w14:paraId="7A8EB9B4">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7B0F9531">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2E9D4C6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智能合并、拆分：</w:t>
            </w:r>
          </w:p>
          <w:p w14:paraId="1E6F5EC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自动按照标本类型、采集要求、检验项目等条件合并</w:t>
            </w:r>
          </w:p>
          <w:p w14:paraId="3F1F698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自动按照拆分规则进行条码拆分，例如：糖耐量等</w:t>
            </w:r>
          </w:p>
        </w:tc>
      </w:tr>
      <w:tr w14:paraId="536BD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1" w:type="dxa"/>
            <w:vMerge w:val="continue"/>
            <w:vAlign w:val="center"/>
          </w:tcPr>
          <w:p w14:paraId="14E4CB7A">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6333A721">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79E4259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门诊体液自助留样</w:t>
            </w:r>
          </w:p>
          <w:p w14:paraId="640E79E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通过门诊体液标本自助留样平台（含智能设备）可以实现病人体液标本视频操作提醒、自助扫码留样、记录准确的采集和交接时间，形成完整的TAT记录，并避免标本遗漏。</w:t>
            </w:r>
          </w:p>
        </w:tc>
      </w:tr>
      <w:tr w14:paraId="7273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jc w:val="center"/>
        </w:trPr>
        <w:tc>
          <w:tcPr>
            <w:tcW w:w="811" w:type="dxa"/>
            <w:vMerge w:val="continue"/>
            <w:vAlign w:val="center"/>
          </w:tcPr>
          <w:p w14:paraId="13925B61">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7F587F8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43D22A0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门诊采血知识库：</w:t>
            </w:r>
          </w:p>
          <w:p w14:paraId="2FDDEFF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自动显示提醒采血管颜色、采血量</w:t>
            </w:r>
          </w:p>
          <w:p w14:paraId="3064A5A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对标本类型错误、性别错误等实时报警提示；</w:t>
            </w:r>
          </w:p>
          <w:p w14:paraId="655A5C8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具备检验知识库浏览功能，可在线查看项目的知识库内容</w:t>
            </w:r>
          </w:p>
        </w:tc>
      </w:tr>
      <w:tr w14:paraId="7C9F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1" w:type="dxa"/>
            <w:vMerge w:val="continue"/>
            <w:vAlign w:val="center"/>
          </w:tcPr>
          <w:p w14:paraId="344B3E15">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9F0E8A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3D37FAE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智能预交金确费：可按照项目条码智能生成试管费进行确费</w:t>
            </w:r>
          </w:p>
          <w:p w14:paraId="478EA15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核酸混检：支持核酸混检功能，并且混检后合并的条码支持签收入库；</w:t>
            </w:r>
          </w:p>
          <w:p w14:paraId="19493C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标本跟踪查询：支持标本全流程查询，可查看标本绑定，签收，入库，发布报告、撤销、拒绝等信息；</w:t>
            </w:r>
          </w:p>
          <w:p w14:paraId="5FC4CD7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补充项目录入：如用药情况等，备注情况可下载至常规，微生物等系统，支持特殊项目录入填报信息功能，如内生肌酐清除率试验；</w:t>
            </w:r>
          </w:p>
          <w:p w14:paraId="6269DF4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特殊患者提醒：精神病、传染病等特殊患者标记功能，提醒采集护士注意防护；</w:t>
            </w:r>
          </w:p>
          <w:p w14:paraId="162DD97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支持采样时拍照；</w:t>
            </w:r>
          </w:p>
          <w:p w14:paraId="76F3F5C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信息加密：支持特殊病人信息加密</w:t>
            </w:r>
          </w:p>
          <w:p w14:paraId="34B631B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采血自动编号</w:t>
            </w:r>
          </w:p>
          <w:p w14:paraId="77029CB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项目互斥设置</w:t>
            </w:r>
          </w:p>
          <w:p w14:paraId="7D01A50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非当天时间段采集提醒</w:t>
            </w:r>
          </w:p>
          <w:p w14:paraId="6579915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儿科等特殊病人支持手工合管</w:t>
            </w:r>
          </w:p>
          <w:p w14:paraId="3552640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支持体检病人批量打印采血条码</w:t>
            </w:r>
          </w:p>
        </w:tc>
      </w:tr>
      <w:tr w14:paraId="4B9D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3D3E2D2">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w:t>
            </w:r>
          </w:p>
        </w:tc>
        <w:tc>
          <w:tcPr>
            <w:tcW w:w="1410" w:type="dxa"/>
            <w:vAlign w:val="center"/>
          </w:tcPr>
          <w:p w14:paraId="597BFC6D">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标本流转</w:t>
            </w:r>
          </w:p>
        </w:tc>
        <w:tc>
          <w:tcPr>
            <w:tcW w:w="7404" w:type="dxa"/>
            <w:vAlign w:val="center"/>
          </w:tcPr>
          <w:p w14:paraId="481D9BC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标本分拣机集成</w:t>
            </w:r>
          </w:p>
          <w:p w14:paraId="2FE637E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包条码接收</w:t>
            </w:r>
          </w:p>
          <w:p w14:paraId="5A07863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单个条码接收</w:t>
            </w:r>
          </w:p>
          <w:p w14:paraId="5CFD57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护工签名</w:t>
            </w:r>
          </w:p>
          <w:p w14:paraId="65FA21A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标签重打</w:t>
            </w:r>
          </w:p>
          <w:p w14:paraId="678F882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外送标本送出</w:t>
            </w:r>
          </w:p>
          <w:p w14:paraId="388664D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让步接收</w:t>
            </w:r>
          </w:p>
          <w:p w14:paraId="696F439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不合格标本管理</w:t>
            </w:r>
          </w:p>
          <w:p w14:paraId="4F03701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签收直接上机</w:t>
            </w:r>
          </w:p>
        </w:tc>
      </w:tr>
      <w:tr w14:paraId="38346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6E95AC23">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w:t>
            </w:r>
          </w:p>
        </w:tc>
        <w:tc>
          <w:tcPr>
            <w:tcW w:w="1410" w:type="dxa"/>
            <w:vAlign w:val="center"/>
          </w:tcPr>
          <w:p w14:paraId="7CD564A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智能标本编号</w:t>
            </w:r>
          </w:p>
        </w:tc>
        <w:tc>
          <w:tcPr>
            <w:tcW w:w="7404" w:type="dxa"/>
            <w:vAlign w:val="center"/>
          </w:tcPr>
          <w:p w14:paraId="57604991">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自动编号规则设置</w:t>
            </w:r>
          </w:p>
          <w:p w14:paraId="32F6ED5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申请项目设置自动编号分组</w:t>
            </w:r>
          </w:p>
          <w:p w14:paraId="5EB40B8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设置自动编号开始样本号、结束样本号</w:t>
            </w:r>
          </w:p>
          <w:p w14:paraId="774A91A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设置周几检验</w:t>
            </w:r>
          </w:p>
          <w:p w14:paraId="255D784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设置样本号格式</w:t>
            </w:r>
          </w:p>
          <w:p w14:paraId="75A23CF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设置规则适用病人类型</w:t>
            </w:r>
          </w:p>
          <w:p w14:paraId="231AC37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设置规则适用急诊类型</w:t>
            </w:r>
          </w:p>
          <w:p w14:paraId="7B9616F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设置规则适用标本类型</w:t>
            </w:r>
          </w:p>
          <w:p w14:paraId="2CBB8EB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自动编号使用场景</w:t>
            </w:r>
          </w:p>
          <w:p w14:paraId="50D23BF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采血打印完成后根据预设规则自动分配实验室样本号</w:t>
            </w:r>
          </w:p>
          <w:p w14:paraId="35B8909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标本签收后根据预设规则自动分配实验室样本号</w:t>
            </w:r>
          </w:p>
          <w:p w14:paraId="6A3EB46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标本上机后根据预设规则自动分配实验室样本号</w:t>
            </w:r>
          </w:p>
          <w:p w14:paraId="177C239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完成检测后根据预设规则自动分配实验室样本号</w:t>
            </w:r>
          </w:p>
        </w:tc>
      </w:tr>
      <w:tr w14:paraId="271A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811" w:type="dxa"/>
            <w:vMerge w:val="restart"/>
            <w:vAlign w:val="center"/>
          </w:tcPr>
          <w:p w14:paraId="6AB700B5">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w:t>
            </w:r>
          </w:p>
        </w:tc>
        <w:tc>
          <w:tcPr>
            <w:tcW w:w="1410" w:type="dxa"/>
            <w:vMerge w:val="restart"/>
            <w:vAlign w:val="center"/>
          </w:tcPr>
          <w:p w14:paraId="55FB8A4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常规检验管理</w:t>
            </w:r>
          </w:p>
        </w:tc>
        <w:tc>
          <w:tcPr>
            <w:tcW w:w="7404" w:type="dxa"/>
            <w:vAlign w:val="center"/>
          </w:tcPr>
          <w:p w14:paraId="2F0A073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首页面板:</w:t>
            </w:r>
          </w:p>
          <w:p w14:paraId="4E29392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具备检验工作站岗位首页面板显示功能，可以显示未上机、超时、待审、召回报告数，图表显示危急值和质控情况</w:t>
            </w:r>
          </w:p>
        </w:tc>
      </w:tr>
      <w:tr w14:paraId="3292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1" w:type="dxa"/>
            <w:vMerge w:val="continue"/>
            <w:vAlign w:val="center"/>
          </w:tcPr>
          <w:p w14:paraId="78843C66">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1AD1CEA3">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8D32E4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个性化设置</w:t>
            </w:r>
          </w:p>
          <w:p w14:paraId="169023A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界面显示字体小大自定义</w:t>
            </w:r>
          </w:p>
          <w:p w14:paraId="314D781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患者信息顺序调整自定义</w:t>
            </w:r>
          </w:p>
          <w:p w14:paraId="167E73A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结果框显示列调整自定义</w:t>
            </w:r>
          </w:p>
          <w:p w14:paraId="08BFB89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结果状态颜色自定义</w:t>
            </w:r>
          </w:p>
          <w:p w14:paraId="682CFB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可以根据报告单元自定义调整</w:t>
            </w:r>
          </w:p>
          <w:p w14:paraId="2A51F05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自定义右键功能</w:t>
            </w:r>
          </w:p>
          <w:p w14:paraId="190E82C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报告结果界面快捷键自定义</w:t>
            </w:r>
          </w:p>
        </w:tc>
      </w:tr>
      <w:tr w14:paraId="37B5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811" w:type="dxa"/>
            <w:vMerge w:val="continue"/>
            <w:vAlign w:val="center"/>
          </w:tcPr>
          <w:p w14:paraId="516D4B17">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5921CD5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717760CD">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信息录入&amp;编号</w:t>
            </w:r>
          </w:p>
          <w:p w14:paraId="68FC086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单个扫描条码核收</w:t>
            </w:r>
          </w:p>
          <w:p w14:paraId="27BB429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批量扫描条码核收</w:t>
            </w:r>
          </w:p>
          <w:p w14:paraId="156FB19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自动获取采血自动编号样本信息</w:t>
            </w:r>
          </w:p>
          <w:p w14:paraId="2D19D7A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rPr>
              <w:t>核收按照自动编号规则编号</w:t>
            </w:r>
          </w:p>
        </w:tc>
      </w:tr>
      <w:tr w14:paraId="2EFC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1" w:type="dxa"/>
            <w:vMerge w:val="continue"/>
            <w:vAlign w:val="center"/>
          </w:tcPr>
          <w:p w14:paraId="0F23F419">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2BE6F62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5EF73EAE">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数据处理功能</w:t>
            </w:r>
          </w:p>
          <w:p w14:paraId="45DE852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所有操作都有日志记录</w:t>
            </w:r>
          </w:p>
          <w:p w14:paraId="08680D8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支持对报告的项目数据进行批量校正，可对指定项目，通过普通公式或特殊公式来校正数据结果；</w:t>
            </w:r>
          </w:p>
          <w:p w14:paraId="090F13B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方便的数据增加、删除、修改操作；</w:t>
            </w:r>
          </w:p>
          <w:p w14:paraId="4BD60E7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支持单个项目增加</w:t>
            </w:r>
          </w:p>
          <w:p w14:paraId="233ACDC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支持批输入项目模板</w:t>
            </w:r>
          </w:p>
          <w:p w14:paraId="72D8280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支持条码重打</w:t>
            </w:r>
          </w:p>
          <w:p w14:paraId="7BEA026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多种形式的结果自动合并功能；</w:t>
            </w:r>
          </w:p>
          <w:p w14:paraId="16953CC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自动复查标本处理功能，能记录多次复查结果</w:t>
            </w:r>
          </w:p>
          <w:p w14:paraId="4C039E5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手工复查标记，输入复查结果</w:t>
            </w:r>
          </w:p>
          <w:p w14:paraId="4A469C2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手工费用补给</w:t>
            </w:r>
          </w:p>
          <w:p w14:paraId="506D574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支持手工镜检功能；</w:t>
            </w:r>
          </w:p>
          <w:p w14:paraId="4D8E2B8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支持单个、批量报告打印</w:t>
            </w:r>
          </w:p>
          <w:p w14:paraId="45A87F7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支持单个、批量标本审核</w:t>
            </w:r>
          </w:p>
          <w:p w14:paraId="64E2B96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支持报告解除审核</w:t>
            </w:r>
          </w:p>
          <w:p w14:paraId="60412F3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支持标本合并</w:t>
            </w:r>
          </w:p>
          <w:p w14:paraId="317A53F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支持标本审核、报告审核以及结果审核；</w:t>
            </w:r>
          </w:p>
          <w:p w14:paraId="6AF381E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支持填写报告备注</w:t>
            </w:r>
          </w:p>
          <w:p w14:paraId="656D2BD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支持填写实验室意见</w:t>
            </w:r>
          </w:p>
          <w:p w14:paraId="720601D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支持报告 TAT 超时报警；</w:t>
            </w:r>
          </w:p>
          <w:p w14:paraId="217477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支持急诊、危机值结果自动报警；</w:t>
            </w:r>
          </w:p>
          <w:p w14:paraId="7693AEB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能进行不同日期的检验结果处理；</w:t>
            </w:r>
          </w:p>
          <w:p w14:paraId="3730427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支持电子签名系统对接</w:t>
            </w:r>
          </w:p>
          <w:p w14:paraId="5C6854E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报告导入</w:t>
            </w:r>
          </w:p>
          <w:p w14:paraId="6C8767F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特殊病人提醒</w:t>
            </w:r>
          </w:p>
          <w:p w14:paraId="2925101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超时报告</w:t>
            </w:r>
          </w:p>
          <w:p w14:paraId="22F6E5A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关联项目结果查看</w:t>
            </w:r>
          </w:p>
          <w:p w14:paraId="50E14FC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结果界面直观显示最近5次检验结果</w:t>
            </w:r>
          </w:p>
          <w:p w14:paraId="5AEFD82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支持自动生成检验意见、检验备注</w:t>
            </w:r>
          </w:p>
        </w:tc>
      </w:tr>
      <w:tr w14:paraId="64D57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1" w:type="dxa"/>
            <w:vMerge w:val="continue"/>
            <w:vAlign w:val="center"/>
          </w:tcPr>
          <w:p w14:paraId="0D3BE3A4">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198CAEA8">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27219E39">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数据展现</w:t>
            </w:r>
          </w:p>
          <w:p w14:paraId="2CDC518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支持数字结果、字符结果、图片图形结果、描述性结果</w:t>
            </w:r>
          </w:p>
          <w:p w14:paraId="3341044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支持原始结果、检验定量结果、检验定性结果、报告结果</w:t>
            </w:r>
          </w:p>
          <w:p w14:paraId="12C755E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支持图形数据接收、存储和展现</w:t>
            </w:r>
          </w:p>
          <w:p w14:paraId="1FFE080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支持仪器报警信息接收、存储和展现；</w:t>
            </w:r>
          </w:p>
        </w:tc>
      </w:tr>
      <w:tr w14:paraId="6F8F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1" w:type="dxa"/>
            <w:vMerge w:val="continue"/>
            <w:vAlign w:val="center"/>
          </w:tcPr>
          <w:p w14:paraId="02959558">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100C7C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2F1500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标本分段检验管理</w:t>
            </w:r>
          </w:p>
          <w:p w14:paraId="47BBF54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针对需多日、多仪器分段完成的检验样本，提供的一套完整的闭环管理方案，形成登记入库、分段检验、检验完成、样本出库（遗弃）的闭环流程管理。</w:t>
            </w:r>
          </w:p>
          <w:p w14:paraId="1E3A9D6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支持按项目分类分配不同库位号；</w:t>
            </w:r>
          </w:p>
          <w:p w14:paraId="19B812D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支持按检测仪器、检查项目组合一键选取样本，可按照入库时间、库位号、预出报告时间等顺序智能分配样本号，并打印上机清单；</w:t>
            </w:r>
          </w:p>
          <w:p w14:paraId="4000B94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支持样本检测状态实时监控查询，及时了解样本完成情况；</w:t>
            </w:r>
            <w:r>
              <w:rPr>
                <w:rFonts w:hint="eastAsia" w:ascii="宋体" w:hAnsi="宋体" w:eastAsia="宋体" w:cs="宋体"/>
                <w:color w:val="auto"/>
                <w:sz w:val="24"/>
                <w:szCs w:val="24"/>
                <w:highlight w:val="none"/>
              </w:rPr>
              <w:t xml:space="preserve"> </w:t>
            </w:r>
          </w:p>
        </w:tc>
      </w:tr>
      <w:tr w14:paraId="3447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811" w:type="dxa"/>
            <w:vMerge w:val="continue"/>
            <w:vAlign w:val="center"/>
          </w:tcPr>
          <w:p w14:paraId="7DDC4126">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2AB2C87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5380DBA6">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特殊功能</w:t>
            </w:r>
          </w:p>
          <w:p w14:paraId="36AB84A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支持查看电子病历</w:t>
            </w:r>
          </w:p>
          <w:p w14:paraId="2A9E34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支持病人信息加密</w:t>
            </w:r>
          </w:p>
          <w:p w14:paraId="208AB8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支持样本图像窗口悬浮</w:t>
            </w:r>
          </w:p>
          <w:p w14:paraId="347CC19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支持结果图像窗口悬浮</w:t>
            </w:r>
          </w:p>
          <w:p w14:paraId="2103EDD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支持快捷按钮操作窗口悬浮</w:t>
            </w:r>
          </w:p>
          <w:p w14:paraId="407FC27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集成检验知识库内容</w:t>
            </w:r>
          </w:p>
        </w:tc>
      </w:tr>
      <w:tr w14:paraId="33704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811" w:type="dxa"/>
            <w:vAlign w:val="center"/>
          </w:tcPr>
          <w:p w14:paraId="49BF43C9">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5</w:t>
            </w:r>
          </w:p>
        </w:tc>
        <w:tc>
          <w:tcPr>
            <w:tcW w:w="1410" w:type="dxa"/>
            <w:vAlign w:val="center"/>
          </w:tcPr>
          <w:p w14:paraId="2204CF5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仪器数据联机</w:t>
            </w:r>
          </w:p>
        </w:tc>
        <w:tc>
          <w:tcPr>
            <w:tcW w:w="7404" w:type="dxa"/>
            <w:vAlign w:val="center"/>
          </w:tcPr>
          <w:p w14:paraId="49D621B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仪器联机方式</w:t>
            </w:r>
          </w:p>
          <w:p w14:paraId="71A73D7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 RS232通讯</w:t>
            </w:r>
          </w:p>
          <w:p w14:paraId="1E9916E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支持TCP/IP 通讯；</w:t>
            </w:r>
          </w:p>
          <w:p w14:paraId="4230288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支持读取仪器软件数据库</w:t>
            </w:r>
          </w:p>
          <w:p w14:paraId="36A8AC7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支持读取仪器软件文件</w:t>
            </w:r>
          </w:p>
          <w:p w14:paraId="1E44B38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可以实现单向、双向通讯，可以实现仪器条形码自动识别；</w:t>
            </w:r>
          </w:p>
          <w:p w14:paraId="33E9777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可以实现酶标仪器双向控制，全自动采血系统联机，贴标机联机，前处理设备的联机，流水线的联机；</w:t>
            </w:r>
          </w:p>
          <w:p w14:paraId="1DAD619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仪器联机内容</w:t>
            </w:r>
          </w:p>
          <w:p w14:paraId="5976B34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支持仪器传输结果解析</w:t>
            </w:r>
          </w:p>
          <w:p w14:paraId="6CD326D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支持仪器传输图形解析</w:t>
            </w:r>
          </w:p>
          <w:p w14:paraId="6F005D4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支持仪器结果报警信息解析</w:t>
            </w:r>
          </w:p>
          <w:p w14:paraId="288748C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支持仪器质控结果解析</w:t>
            </w:r>
          </w:p>
        </w:tc>
      </w:tr>
      <w:tr w14:paraId="6B34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restart"/>
            <w:vAlign w:val="center"/>
          </w:tcPr>
          <w:p w14:paraId="0A08F83A">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6</w:t>
            </w:r>
          </w:p>
        </w:tc>
        <w:tc>
          <w:tcPr>
            <w:tcW w:w="1410" w:type="dxa"/>
            <w:vMerge w:val="restart"/>
            <w:vAlign w:val="center"/>
          </w:tcPr>
          <w:p w14:paraId="1A9C8BC0">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图文报告</w:t>
            </w:r>
          </w:p>
        </w:tc>
        <w:tc>
          <w:tcPr>
            <w:tcW w:w="7404" w:type="dxa"/>
            <w:vAlign w:val="center"/>
          </w:tcPr>
          <w:p w14:paraId="1143CDD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图像采集</w:t>
            </w:r>
          </w:p>
          <w:p w14:paraId="39B4FE8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显微镜图像采集：通过集成显微镜摄像头直接进行图像采集，形成图文报告</w:t>
            </w:r>
          </w:p>
          <w:p w14:paraId="06312A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自动读取第三方图片：通过接口自动读取第三方系统的图片，形成图文报告</w:t>
            </w:r>
          </w:p>
          <w:p w14:paraId="73EC7C2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手工导入：可以手工选择已经形成的图片，导入到LIS系统中形成图文报告</w:t>
            </w:r>
          </w:p>
          <w:p w14:paraId="48744E5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图片种类至少包括：骨髓图像、脱离细胞图像、染色体图像、精子运动图像、尿粪沉渣镜检图像、蛋白电泳曲线图、蛋白电泳条带图、血细胞直方图、血细胞散点图、流式细胞散点图、基因图谱、标本照片等。</w:t>
            </w:r>
          </w:p>
        </w:tc>
      </w:tr>
      <w:tr w14:paraId="10D8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811" w:type="dxa"/>
            <w:vMerge w:val="continue"/>
            <w:vAlign w:val="center"/>
          </w:tcPr>
          <w:p w14:paraId="76B82322">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64E17D80">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510E173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报告格式</w:t>
            </w:r>
          </w:p>
          <w:p w14:paraId="5198D47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报告设计功能极其强大、方便、实用，普通用户均可设计出漂亮、强悍、专业的报告单。</w:t>
            </w:r>
          </w:p>
          <w:p w14:paraId="1C0FEE7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提供院标添加功能，添加院标很简单即可实现。</w:t>
            </w:r>
          </w:p>
          <w:p w14:paraId="6E2247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可以和电子签名系统对接</w:t>
            </w:r>
          </w:p>
          <w:p w14:paraId="5B9BCDB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提供报告单上所有项目的自定义功能：病人信息、图片框数量等。</w:t>
            </w:r>
          </w:p>
          <w:p w14:paraId="4216410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报告所有项目的位置、大小、数量、颜色、字体均可自由调整</w:t>
            </w:r>
          </w:p>
        </w:tc>
      </w:tr>
      <w:tr w14:paraId="7142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11" w:type="dxa"/>
            <w:vAlign w:val="center"/>
          </w:tcPr>
          <w:p w14:paraId="2A173C0C">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7</w:t>
            </w:r>
          </w:p>
        </w:tc>
        <w:tc>
          <w:tcPr>
            <w:tcW w:w="1410" w:type="dxa"/>
            <w:vAlign w:val="center"/>
          </w:tcPr>
          <w:p w14:paraId="6779D210">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骨髓报告</w:t>
            </w:r>
          </w:p>
        </w:tc>
        <w:tc>
          <w:tcPr>
            <w:tcW w:w="7404" w:type="dxa"/>
            <w:vAlign w:val="center"/>
          </w:tcPr>
          <w:p w14:paraId="45492F3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图像采集</w:t>
            </w:r>
          </w:p>
          <w:p w14:paraId="6275B0A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显微镜图像采集：通过集成显微镜摄像头直接进行图像采集，形成图文报告</w:t>
            </w:r>
          </w:p>
          <w:p w14:paraId="23B8AA8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自动读取第三方图片：通过接口自动读取第三方系统的图片，形成图文报告</w:t>
            </w:r>
          </w:p>
          <w:p w14:paraId="5ABE104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手工导入：可以手工选择已经形成的图片，导入到LIS系统中形成图文报告</w:t>
            </w:r>
          </w:p>
          <w:p w14:paraId="392DB6AD">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图像查看、处理</w:t>
            </w:r>
          </w:p>
          <w:p w14:paraId="4299C48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可随时放大、缩小查看采集后的图片</w:t>
            </w:r>
          </w:p>
          <w:p w14:paraId="2D987BD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可对图像进行删除、排序</w:t>
            </w:r>
          </w:p>
          <w:p w14:paraId="1086E40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诊断模版</w:t>
            </w:r>
          </w:p>
          <w:p w14:paraId="7C2EC4F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设有骨髓片、血片特征描述</w:t>
            </w:r>
          </w:p>
          <w:p w14:paraId="7ACFA90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特征、结论可以编辑模板</w:t>
            </w:r>
          </w:p>
          <w:p w14:paraId="70033AE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报告界面可进行模板选择和编辑</w:t>
            </w:r>
          </w:p>
          <w:p w14:paraId="18B440B0">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报告格式</w:t>
            </w:r>
          </w:p>
          <w:p w14:paraId="3AE92D7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报告设计功能极其强大、方便、实用，普通用户均可设计出漂亮、强悍、专业的报告单。</w:t>
            </w:r>
          </w:p>
          <w:p w14:paraId="59D54A1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提供院标添加功能，添加院标很简单即可实现。</w:t>
            </w:r>
          </w:p>
          <w:p w14:paraId="4E4BF15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可以和电子签名系统对接</w:t>
            </w:r>
          </w:p>
          <w:p w14:paraId="157865F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提供报告单上所有项目的自定义功能：病人信息、图片框数量等。</w:t>
            </w:r>
          </w:p>
          <w:p w14:paraId="4CF7D25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报告所有项目的位置、大小、数量、颜色、字体均可自由调整</w:t>
            </w:r>
          </w:p>
        </w:tc>
      </w:tr>
      <w:tr w14:paraId="3203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811" w:type="dxa"/>
            <w:vAlign w:val="center"/>
          </w:tcPr>
          <w:p w14:paraId="64870E72">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8</w:t>
            </w:r>
          </w:p>
        </w:tc>
        <w:tc>
          <w:tcPr>
            <w:tcW w:w="1410" w:type="dxa"/>
            <w:vAlign w:val="center"/>
          </w:tcPr>
          <w:p w14:paraId="3C5AB227">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胶体金AI智能检测平台</w:t>
            </w:r>
          </w:p>
        </w:tc>
        <w:tc>
          <w:tcPr>
            <w:tcW w:w="7404" w:type="dxa"/>
            <w:vAlign w:val="center"/>
          </w:tcPr>
          <w:p w14:paraId="24B1D7FA">
            <w:pPr>
              <w:ind w:firstLine="482"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针对新冠、甲乙流等常见病毒检测，支持通过高拍仪及AI技术实现：标本识别，记录反应时长，结果自动判别、图像留痕记录等。</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需提供方案和软件截图,提供系统环境备查</w:t>
            </w:r>
            <w:r>
              <w:rPr>
                <w:rFonts w:hint="eastAsia" w:ascii="宋体" w:hAnsi="宋体" w:eastAsia="宋体" w:cs="宋体"/>
                <w:b/>
                <w:bCs/>
                <w:color w:val="auto"/>
                <w:kern w:val="0"/>
                <w:sz w:val="24"/>
                <w:szCs w:val="24"/>
                <w:highlight w:val="none"/>
                <w:lang w:eastAsia="zh-CN"/>
              </w:rPr>
              <w:t>）</w:t>
            </w:r>
          </w:p>
        </w:tc>
      </w:tr>
      <w:tr w14:paraId="1D96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811" w:type="dxa"/>
            <w:vAlign w:val="center"/>
          </w:tcPr>
          <w:p w14:paraId="0A7B2340">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9</w:t>
            </w:r>
          </w:p>
        </w:tc>
        <w:tc>
          <w:tcPr>
            <w:tcW w:w="1410" w:type="dxa"/>
            <w:vAlign w:val="center"/>
          </w:tcPr>
          <w:p w14:paraId="4D26087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委托第三方报告</w:t>
            </w:r>
          </w:p>
        </w:tc>
        <w:tc>
          <w:tcPr>
            <w:tcW w:w="7404" w:type="dxa"/>
            <w:vAlign w:val="center"/>
          </w:tcPr>
          <w:p w14:paraId="7837F85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对外送标本进行登记管理。</w:t>
            </w:r>
          </w:p>
          <w:p w14:paraId="2B73C26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接口对接上传外送标本信息到第三方实验室系统。</w:t>
            </w:r>
          </w:p>
          <w:p w14:paraId="2C7A624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接口对接自动获取外送标本的返回报告以及检验结果。</w:t>
            </w:r>
          </w:p>
          <w:p w14:paraId="6C12DCA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接口对接委托第三方检验 PDF报告对接导入。</w:t>
            </w:r>
          </w:p>
          <w:p w14:paraId="3CC61E0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支持委托第三方检验PDF 报告预览和打印</w:t>
            </w:r>
          </w:p>
        </w:tc>
      </w:tr>
      <w:tr w14:paraId="4161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11" w:type="dxa"/>
            <w:vMerge w:val="restart"/>
            <w:vAlign w:val="center"/>
          </w:tcPr>
          <w:p w14:paraId="26519ACF">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10</w:t>
            </w:r>
          </w:p>
        </w:tc>
        <w:tc>
          <w:tcPr>
            <w:tcW w:w="1410" w:type="dxa"/>
            <w:vMerge w:val="restart"/>
            <w:vAlign w:val="center"/>
          </w:tcPr>
          <w:p w14:paraId="0944404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流水线联机</w:t>
            </w:r>
          </w:p>
        </w:tc>
        <w:tc>
          <w:tcPr>
            <w:tcW w:w="7404" w:type="dxa"/>
            <w:vAlign w:val="center"/>
          </w:tcPr>
          <w:p w14:paraId="500CD90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支持的流水线内容</w:t>
            </w:r>
          </w:p>
          <w:p w14:paraId="36C320A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支持通过中间体软件实现对流水线、前处理集成；</w:t>
            </w:r>
          </w:p>
          <w:p w14:paraId="02F5EEC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支持直接对流水线、前处理各个模块通讯并作集成；</w:t>
            </w:r>
          </w:p>
          <w:p w14:paraId="2BA42E7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支持流水线、前处理全过程通讯（上机、离心、抜盖、分样、上线、下线、归档）；</w:t>
            </w:r>
          </w:p>
          <w:p w14:paraId="2068C81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支持流水线、前处理报警信息采集；</w:t>
            </w:r>
          </w:p>
          <w:p w14:paraId="5B8240A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支持流水线、前处理技术审核信息采集；</w:t>
            </w:r>
          </w:p>
          <w:p w14:paraId="7606394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采集检验数据的分析单元和检验完成时间；</w:t>
            </w:r>
          </w:p>
          <w:p w14:paraId="0A17D3F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支持流水线、前处理对检验标本自动核收；</w:t>
            </w:r>
          </w:p>
          <w:p w14:paraId="540F9B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支持流水线、前处理线上线下标本分配管理；</w:t>
            </w:r>
          </w:p>
          <w:p w14:paraId="26286AA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支持流水线、前处理标本自动编号；</w:t>
            </w:r>
          </w:p>
          <w:p w14:paraId="0B2658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实现对流水线、前处理的异常监控；</w:t>
            </w:r>
          </w:p>
        </w:tc>
      </w:tr>
      <w:tr w14:paraId="65EF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5BAD22DE">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3D24FC14">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3B478A3">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支持的生化、免疫前处理流水线厂家：</w:t>
            </w:r>
          </w:p>
          <w:p w14:paraId="031BDE3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罗氏流水线</w:t>
            </w:r>
          </w:p>
          <w:p w14:paraId="0D31C33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日立生化免疫流水线</w:t>
            </w:r>
          </w:p>
          <w:p w14:paraId="6FC84C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贝光曼生化免疫流水线</w:t>
            </w:r>
          </w:p>
          <w:p w14:paraId="4820F3C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西门子生化免疫流水线</w:t>
            </w:r>
          </w:p>
          <w:p w14:paraId="38A76F2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雅培生化免疫流水线</w:t>
            </w:r>
          </w:p>
          <w:p w14:paraId="36E5F03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迈瑞生化免疫流水线</w:t>
            </w:r>
          </w:p>
          <w:p w14:paraId="1E40637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安图生化免疫流水线</w:t>
            </w:r>
          </w:p>
          <w:p w14:paraId="73510B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迪瑞生化免疫流水线</w:t>
            </w:r>
          </w:p>
          <w:p w14:paraId="1306791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新产业生化免疫流水线</w:t>
            </w:r>
          </w:p>
          <w:p w14:paraId="4501098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科华生化免疫流水线</w:t>
            </w:r>
          </w:p>
        </w:tc>
      </w:tr>
      <w:tr w14:paraId="1D72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763CBE2A">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1E41ADA1">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0A382546">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支持的全自动血球流水线包括：</w:t>
            </w:r>
          </w:p>
          <w:p w14:paraId="49D95EF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SYSMEX血球流水线</w:t>
            </w:r>
          </w:p>
          <w:p w14:paraId="33163FB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贝光曼血球流水线</w:t>
            </w:r>
          </w:p>
          <w:p w14:paraId="28A0175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西门子血球流水线</w:t>
            </w:r>
          </w:p>
          <w:p w14:paraId="1247DA5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迈瑞血球流水线</w:t>
            </w:r>
          </w:p>
          <w:p w14:paraId="2D79D9B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ABX流水线</w:t>
            </w:r>
          </w:p>
          <w:p w14:paraId="484C169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迪瑞血细胞流水线</w:t>
            </w:r>
          </w:p>
        </w:tc>
      </w:tr>
      <w:tr w14:paraId="5CC0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0F2300AA">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5BE4227">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6BBE3AE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支持的全自动尿液流水线包括：</w:t>
            </w:r>
          </w:p>
          <w:p w14:paraId="58055D2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爱威尿液流水线</w:t>
            </w:r>
          </w:p>
          <w:p w14:paraId="67BB67F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迈瑞尿液分析流水线</w:t>
            </w:r>
          </w:p>
          <w:p w14:paraId="45C45AD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Sysmex尿液流水线</w:t>
            </w:r>
          </w:p>
          <w:p w14:paraId="3EBC15D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贝克曼尿液流水线</w:t>
            </w:r>
          </w:p>
          <w:p w14:paraId="598823B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西门子尿液流水线</w:t>
            </w:r>
          </w:p>
          <w:p w14:paraId="0501CDE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优利特尿液流水线</w:t>
            </w:r>
          </w:p>
          <w:p w14:paraId="56C9F2A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迪瑞尿液流水线</w:t>
            </w:r>
          </w:p>
        </w:tc>
      </w:tr>
      <w:tr w14:paraId="38F4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3DBE3DCE">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521F1002">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C3AA4E3">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支持的全自动化微生物实验室包括：</w:t>
            </w:r>
          </w:p>
          <w:p w14:paraId="1AA3801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梅里埃 MyLa 微生物全自动流水线</w:t>
            </w:r>
          </w:p>
          <w:p w14:paraId="6E04E56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WASPLAB（大黄蜂）微生物流水线</w:t>
            </w:r>
          </w:p>
        </w:tc>
      </w:tr>
      <w:tr w14:paraId="5AF7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60336D7">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11</w:t>
            </w:r>
          </w:p>
        </w:tc>
        <w:tc>
          <w:tcPr>
            <w:tcW w:w="1410" w:type="dxa"/>
            <w:vAlign w:val="center"/>
          </w:tcPr>
          <w:p w14:paraId="7AD3FC85">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检验报告管理</w:t>
            </w:r>
          </w:p>
        </w:tc>
        <w:tc>
          <w:tcPr>
            <w:tcW w:w="7404" w:type="dxa"/>
            <w:vAlign w:val="center"/>
          </w:tcPr>
          <w:p w14:paraId="0BEEE91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报告格式调整</w:t>
            </w:r>
          </w:p>
          <w:p w14:paraId="3C8A593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报告格式调整统一管理</w:t>
            </w:r>
          </w:p>
          <w:p w14:paraId="0776FEB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报告设计功能极其强大、方便、实用，普通用户均可设计出漂亮、强悍、专业的报告单。</w:t>
            </w:r>
          </w:p>
          <w:p w14:paraId="4B7AC6B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提供报告单上所有项目的自定义功能：病人信息、图片框数量等。</w:t>
            </w:r>
          </w:p>
          <w:p w14:paraId="584D95E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报告所有项目的位置、大小、数量、颜色、字体均可自由调整</w:t>
            </w:r>
          </w:p>
          <w:p w14:paraId="0A36C3D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报告单格式</w:t>
            </w:r>
          </w:p>
          <w:p w14:paraId="2466B77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报告单支持打印院标</w:t>
            </w:r>
          </w:p>
          <w:p w14:paraId="44E00B8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可以和电子签名对接，支持打印电子签名</w:t>
            </w:r>
          </w:p>
          <w:p w14:paraId="2BC2F0E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报告单支持打印二维码</w:t>
            </w:r>
          </w:p>
          <w:p w14:paraId="232BCFB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报告单支持二维码验证真伪</w:t>
            </w:r>
          </w:p>
        </w:tc>
      </w:tr>
      <w:tr w14:paraId="637B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7F88A9D">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12</w:t>
            </w:r>
          </w:p>
        </w:tc>
        <w:tc>
          <w:tcPr>
            <w:tcW w:w="1410" w:type="dxa"/>
            <w:vAlign w:val="center"/>
          </w:tcPr>
          <w:p w14:paraId="4D74ED70">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临床报告管理</w:t>
            </w:r>
          </w:p>
        </w:tc>
        <w:tc>
          <w:tcPr>
            <w:tcW w:w="7404" w:type="dxa"/>
            <w:vAlign w:val="center"/>
          </w:tcPr>
          <w:p w14:paraId="4518B7C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采用浏览器查看可以集成到医院第三方系统中</w:t>
            </w:r>
          </w:p>
          <w:p w14:paraId="22B9902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列表字段的宽度，显示隐藏，显示顺序都可以自由调整，并且以电脑为单位记忆（不会影响其他电脑）</w:t>
            </w:r>
          </w:p>
          <w:p w14:paraId="756E148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提供专业的对检验报告、数据进行浏览、阅读、打印、分析的工具；</w:t>
            </w:r>
          </w:p>
          <w:p w14:paraId="2E02E7B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含盖所有种类的检验报告，包括：常规检验报告、微生物检验报告、图像检验报告；</w:t>
            </w:r>
          </w:p>
          <w:p w14:paraId="1E82C10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提供报告单每张打印功能；</w:t>
            </w:r>
          </w:p>
          <w:p w14:paraId="0D62198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提供报告单合并打印功能；</w:t>
            </w:r>
          </w:p>
          <w:p w14:paraId="1A60279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提供历史检验结果比较</w:t>
            </w:r>
          </w:p>
          <w:p w14:paraId="47E0B4B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提供检验结果的分析功能；</w:t>
            </w:r>
          </w:p>
          <w:p w14:paraId="18E8264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提供检验结果一键复制</w:t>
            </w:r>
          </w:p>
          <w:p w14:paraId="5A27CDE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提供检验项目直接链接到相关知识库功能。</w:t>
            </w:r>
          </w:p>
        </w:tc>
      </w:tr>
      <w:tr w14:paraId="3438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25C88AFC">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13</w:t>
            </w:r>
          </w:p>
        </w:tc>
        <w:tc>
          <w:tcPr>
            <w:tcW w:w="1410" w:type="dxa"/>
            <w:vAlign w:val="center"/>
          </w:tcPr>
          <w:p w14:paraId="5058621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自助取单</w:t>
            </w:r>
          </w:p>
        </w:tc>
        <w:tc>
          <w:tcPr>
            <w:tcW w:w="7404" w:type="dxa"/>
            <w:vAlign w:val="center"/>
          </w:tcPr>
          <w:p w14:paraId="00F434B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功能自定义</w:t>
            </w:r>
          </w:p>
          <w:p w14:paraId="24FA15C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界面背景自定义</w:t>
            </w:r>
          </w:p>
          <w:p w14:paraId="7B2468B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界面分布格式自定义</w:t>
            </w:r>
          </w:p>
          <w:p w14:paraId="1F73C03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界面提示语句自定义</w:t>
            </w:r>
          </w:p>
          <w:p w14:paraId="53BFCCB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界面提示文字自定义</w:t>
            </w:r>
          </w:p>
          <w:p w14:paraId="3ADE593E">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取卡介质</w:t>
            </w:r>
          </w:p>
          <w:p w14:paraId="5EEAC45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支持回执单</w:t>
            </w:r>
          </w:p>
          <w:p w14:paraId="1145852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支持就诊卡</w:t>
            </w:r>
          </w:p>
          <w:p w14:paraId="520FD9A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支持医保卡</w:t>
            </w:r>
          </w:p>
          <w:p w14:paraId="5E1A5FA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支持身份证</w:t>
            </w:r>
          </w:p>
          <w:p w14:paraId="7B58072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支持手工输入</w:t>
            </w:r>
          </w:p>
          <w:p w14:paraId="7FC1C25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常见报告提示</w:t>
            </w:r>
          </w:p>
          <w:p w14:paraId="12CBC70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无打印报告信息提示；</w:t>
            </w:r>
          </w:p>
          <w:p w14:paraId="5319BBF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正在检验报告信息提示;</w:t>
            </w:r>
          </w:p>
          <w:p w14:paraId="303D00F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可打印报告信息提示；</w:t>
            </w:r>
          </w:p>
          <w:p w14:paraId="3F1B817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特殊报告信息提示；</w:t>
            </w:r>
          </w:p>
          <w:p w14:paraId="5981519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纸质缺纸提醒</w:t>
            </w:r>
          </w:p>
          <w:p w14:paraId="79D1520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报告分数、打印纸张数准确提醒</w:t>
            </w:r>
          </w:p>
          <w:p w14:paraId="3855736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提供专业的门诊报告服务台模块</w:t>
            </w:r>
          </w:p>
          <w:p w14:paraId="30B5F5A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异常报告打印</w:t>
            </w:r>
          </w:p>
          <w:p w14:paraId="2F1937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门诊重新采血单打印</w:t>
            </w:r>
          </w:p>
          <w:p w14:paraId="3A2791F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门诊报告延时单打印</w:t>
            </w:r>
          </w:p>
          <w:p w14:paraId="03B1259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可以实现与医院现有的各类自助取报告的设备系统接口互联。</w:t>
            </w:r>
          </w:p>
        </w:tc>
      </w:tr>
      <w:tr w14:paraId="1473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2CA62DF9">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14</w:t>
            </w:r>
          </w:p>
        </w:tc>
        <w:tc>
          <w:tcPr>
            <w:tcW w:w="1410" w:type="dxa"/>
            <w:vAlign w:val="center"/>
          </w:tcPr>
          <w:p w14:paraId="61A625A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标本流转路径规划管理</w:t>
            </w:r>
          </w:p>
        </w:tc>
        <w:tc>
          <w:tcPr>
            <w:tcW w:w="7404" w:type="dxa"/>
            <w:vAlign w:val="center"/>
          </w:tcPr>
          <w:p w14:paraId="42EA231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对标本全流程引入路径规划管理，对标本流整个闭环路径全程监控</w:t>
            </w:r>
          </w:p>
          <w:p w14:paraId="276F5F9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支持标本流路径中任意参与者，直观查看本流程节点中，待流入样本和待流出样本的路径和预计时间；</w:t>
            </w:r>
          </w:p>
          <w:p w14:paraId="0A2E6D7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支持通过标本路径中任意节点发生的时间和地点，对后续任意节点的时间和地点设置流向计划；</w:t>
            </w:r>
          </w:p>
          <w:p w14:paraId="1841525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支持按不同的维度，包括病人类型、执行科室、申请项目以及动作发生的时间点（可按周几、工作日、节假日等区分）、发生的地点等创建不同的计划方案</w:t>
            </w:r>
          </w:p>
          <w:p w14:paraId="6B04724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支持按照计划的预计执行时间，对标本流中超时标本进行精准提醒</w:t>
            </w:r>
          </w:p>
        </w:tc>
      </w:tr>
      <w:tr w14:paraId="1546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811" w:type="dxa"/>
            <w:vAlign w:val="center"/>
          </w:tcPr>
          <w:p w14:paraId="41B6042F">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15</w:t>
            </w:r>
          </w:p>
        </w:tc>
        <w:tc>
          <w:tcPr>
            <w:tcW w:w="1410" w:type="dxa"/>
            <w:vAlign w:val="center"/>
          </w:tcPr>
          <w:p w14:paraId="0C790A3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实验室监控管理</w:t>
            </w:r>
          </w:p>
        </w:tc>
        <w:tc>
          <w:tcPr>
            <w:tcW w:w="7404" w:type="dxa"/>
            <w:vAlign w:val="center"/>
          </w:tcPr>
          <w:p w14:paraId="2F1FAA2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大屏监控管理</w:t>
            </w:r>
          </w:p>
          <w:p w14:paraId="2BC3CA9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通过大屏幕监控或工作站消息窗口方式对检验全过程中的异常情况进行报警和警示，提醒检验人员对异常情况加以关注，大屏能够获取LIS及HIS数据， 能够计算、显示的实验室相关指标须满足卫生部临检中心检验全过程质量指标相关要素，以及实验室要求展示的要素。包括但不限于：报警和警示的内容包括但不局限于：标本送检超时、 急诊标本、常规报告TAT超时、急诊报告TAT超时、仪器报警信息、质控失控信息、危急值预警信息、危急值感知超时、危急值报告超时、危急值回馈超时、实验室环境报警信息等。</w:t>
            </w:r>
          </w:p>
          <w:p w14:paraId="35B47E4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显示方式包括但不限于：列表、柱状图、堆叠柱状图、饼图、面积图、折线图等。</w:t>
            </w:r>
          </w:p>
          <w:p w14:paraId="753177C2">
            <w:pPr>
              <w:pStyle w:val="3"/>
              <w:pageBreakBefore w:val="0"/>
              <w:numPr>
                <w:ilvl w:val="0"/>
                <w:numId w:val="0"/>
              </w:numPr>
              <w:kinsoku/>
              <w:wordWrap/>
              <w:overflowPunct/>
              <w:topLinePunct w:val="0"/>
              <w:autoSpaceDE/>
              <w:autoSpaceDN/>
              <w:bidi w:val="0"/>
              <w:adjustRightInd/>
              <w:snapToGrid/>
              <w:spacing w:before="0" w:beforeAutospacing="0" w:after="0" w:afterAutospacing="0" w:line="300" w:lineRule="auto"/>
              <w:ind w:left="0" w:leftChars="0"/>
              <w:jc w:val="both"/>
              <w:textAlignment w:val="auto"/>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消息提醒弹窗</w:t>
            </w:r>
          </w:p>
          <w:p w14:paraId="2BB9589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包括危急值、危急值超时、标本超时、设备维护、接口消息等可以自定义小时间隔、提前提醒时间、消息提醒文字、是否声音提醒</w:t>
            </w:r>
          </w:p>
        </w:tc>
      </w:tr>
      <w:tr w14:paraId="261F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11" w:type="dxa"/>
            <w:vAlign w:val="center"/>
          </w:tcPr>
          <w:p w14:paraId="26707D14">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16</w:t>
            </w:r>
          </w:p>
        </w:tc>
        <w:tc>
          <w:tcPr>
            <w:tcW w:w="1410" w:type="dxa"/>
            <w:vAlign w:val="center"/>
          </w:tcPr>
          <w:p w14:paraId="097ED4C9">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不合格标本管理</w:t>
            </w:r>
          </w:p>
        </w:tc>
        <w:tc>
          <w:tcPr>
            <w:tcW w:w="7404" w:type="dxa"/>
            <w:vAlign w:val="center"/>
          </w:tcPr>
          <w:p w14:paraId="524751B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不合格标本字典管理</w:t>
            </w:r>
          </w:p>
          <w:p w14:paraId="26D94F3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bookmarkStart w:id="224" w:name="_Hlk91371163"/>
            <w:r>
              <w:rPr>
                <w:rFonts w:hint="eastAsia" w:ascii="宋体" w:hAnsi="宋体" w:eastAsia="宋体" w:cs="宋体"/>
                <w:color w:val="auto"/>
                <w:kern w:val="0"/>
                <w:sz w:val="24"/>
                <w:szCs w:val="24"/>
                <w:highlight w:val="none"/>
              </w:rPr>
              <w:t>不合格标本类型</w:t>
            </w:r>
            <w:bookmarkEnd w:id="224"/>
            <w:r>
              <w:rPr>
                <w:rFonts w:hint="eastAsia" w:ascii="宋体" w:hAnsi="宋体" w:eastAsia="宋体" w:cs="宋体"/>
                <w:color w:val="auto"/>
                <w:kern w:val="0"/>
                <w:sz w:val="24"/>
                <w:szCs w:val="24"/>
                <w:highlight w:val="none"/>
              </w:rPr>
              <w:t>标准化，包括：标本容器错误、标本类型错误、标本采集量不合格、标本容器损坏、标本丢失、标签损坏、脂血、溶血、抗凝标本凝集、微生物标本污染、采集时机不准确、运转时间不当、运转温度不当、信息错误、信息与完整、其它等；</w:t>
            </w:r>
          </w:p>
          <w:p w14:paraId="7A5F4AB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支持用户自定义不合格类型并与标准作对照；</w:t>
            </w:r>
          </w:p>
          <w:p w14:paraId="4659B61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不合格标本检验科管理</w:t>
            </w:r>
          </w:p>
          <w:p w14:paraId="27C1AC4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不合格标本退回</w:t>
            </w:r>
          </w:p>
          <w:p w14:paraId="127D6F3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部分不合格标本登记备注信息</w:t>
            </w:r>
          </w:p>
          <w:p w14:paraId="5D9ED7D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不合格标本拍照</w:t>
            </w:r>
          </w:p>
          <w:p w14:paraId="073B1F73">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不合格标本临床管理</w:t>
            </w:r>
          </w:p>
          <w:p w14:paraId="052D822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不合格标本临床提醒</w:t>
            </w:r>
          </w:p>
          <w:p w14:paraId="191C93C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不合格标本临床确认</w:t>
            </w:r>
          </w:p>
          <w:p w14:paraId="20C54FF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不合格标本临床作废</w:t>
            </w:r>
          </w:p>
          <w:p w14:paraId="7DEA228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不合格标本临床重打</w:t>
            </w:r>
          </w:p>
          <w:p w14:paraId="0B115EA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不合格标本临床处理完成检验科确认</w:t>
            </w:r>
          </w:p>
          <w:p w14:paraId="08F27D7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让步接收</w:t>
            </w:r>
          </w:p>
        </w:tc>
      </w:tr>
      <w:tr w14:paraId="6CC5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99F7B37">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17</w:t>
            </w:r>
          </w:p>
        </w:tc>
        <w:tc>
          <w:tcPr>
            <w:tcW w:w="1410" w:type="dxa"/>
            <w:vAlign w:val="center"/>
          </w:tcPr>
          <w:p w14:paraId="4E03E01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危急值闭环</w:t>
            </w:r>
          </w:p>
        </w:tc>
        <w:tc>
          <w:tcPr>
            <w:tcW w:w="7404" w:type="dxa"/>
            <w:vAlign w:val="center"/>
          </w:tcPr>
          <w:p w14:paraId="54C5987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危急值设置</w:t>
            </w:r>
          </w:p>
          <w:p w14:paraId="31C825B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支持按照性别设置危急值</w:t>
            </w:r>
          </w:p>
          <w:p w14:paraId="5B28683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支持按照年龄设置危急值</w:t>
            </w:r>
          </w:p>
          <w:p w14:paraId="19DA069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支持按照标本类型设置危急值</w:t>
            </w:r>
          </w:p>
          <w:p w14:paraId="7304544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支持按照诊断设置危急值</w:t>
            </w:r>
          </w:p>
          <w:p w14:paraId="3D9463A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支持按照生理周期设置危急值</w:t>
            </w:r>
          </w:p>
          <w:p w14:paraId="1E5AB4A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支持按照科室设置危急值</w:t>
            </w:r>
          </w:p>
          <w:p w14:paraId="66B557D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支持相邻两次结果差异大时进行危急值设置</w:t>
            </w:r>
          </w:p>
          <w:p w14:paraId="10EF9E0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危急值上报方式</w:t>
            </w:r>
          </w:p>
          <w:p w14:paraId="16ACFDD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支持危急值短信上报</w:t>
            </w:r>
          </w:p>
          <w:p w14:paraId="6F1EDBC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支持网络上报</w:t>
            </w:r>
          </w:p>
          <w:p w14:paraId="1D5C638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支持通过接口上报到HIS</w:t>
            </w:r>
          </w:p>
          <w:p w14:paraId="2593021F">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临床危急值提醒</w:t>
            </w:r>
          </w:p>
          <w:p w14:paraId="55BDC05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支持临床右下角弹窗</w:t>
            </w:r>
          </w:p>
          <w:p w14:paraId="3F48419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支持临床全屏弹窗</w:t>
            </w:r>
          </w:p>
          <w:p w14:paraId="0BCF0ED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支持锁屏弹窗</w:t>
            </w:r>
          </w:p>
          <w:p w14:paraId="7092130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支持危急值语音提醒</w:t>
            </w:r>
          </w:p>
          <w:p w14:paraId="4BE8FC90">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危急值记录</w:t>
            </w:r>
          </w:p>
          <w:p w14:paraId="60225BB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检验危急值报警时间</w:t>
            </w:r>
          </w:p>
          <w:p w14:paraId="2772ECA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检验危急值复核完成时间</w:t>
            </w:r>
          </w:p>
          <w:p w14:paraId="4B7C6DC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检验危急值上报时间</w:t>
            </w:r>
          </w:p>
          <w:p w14:paraId="2CE8C1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临床危急值阅读时间</w:t>
            </w:r>
          </w:p>
          <w:p w14:paraId="745B1B6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危急值上报超时时间</w:t>
            </w:r>
          </w:p>
          <w:p w14:paraId="639CD4C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危急值确认超时时间</w:t>
            </w:r>
          </w:p>
        </w:tc>
      </w:tr>
      <w:tr w14:paraId="120A4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10CAEFF8">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18</w:t>
            </w:r>
          </w:p>
        </w:tc>
        <w:tc>
          <w:tcPr>
            <w:tcW w:w="1410" w:type="dxa"/>
            <w:vAlign w:val="center"/>
          </w:tcPr>
          <w:p w14:paraId="7A9AC20D">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复查标本管理</w:t>
            </w:r>
          </w:p>
        </w:tc>
        <w:tc>
          <w:tcPr>
            <w:tcW w:w="7404" w:type="dxa"/>
            <w:vAlign w:val="center"/>
          </w:tcPr>
          <w:p w14:paraId="2BE5724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能够根据预先设定的审核规则对复查标本进行自动筛选；</w:t>
            </w:r>
          </w:p>
          <w:p w14:paraId="3EA9CC3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能够准确、完整记录每次复查情况和结果记录；</w:t>
            </w:r>
          </w:p>
          <w:p w14:paraId="26399E8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手工项目能够标记复查，输入复查结果；</w:t>
            </w:r>
          </w:p>
          <w:p w14:paraId="671F66D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能够对复查率进行统计和分析。</w:t>
            </w:r>
          </w:p>
          <w:p w14:paraId="60F9734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支持自动稀释复检、自动双工发送仪器</w:t>
            </w:r>
          </w:p>
        </w:tc>
      </w:tr>
      <w:tr w14:paraId="6ADE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0FEBA50">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19</w:t>
            </w:r>
          </w:p>
        </w:tc>
        <w:tc>
          <w:tcPr>
            <w:tcW w:w="1410" w:type="dxa"/>
            <w:vAlign w:val="center"/>
          </w:tcPr>
          <w:p w14:paraId="48678C99">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临床预警消息平台</w:t>
            </w:r>
          </w:p>
        </w:tc>
        <w:tc>
          <w:tcPr>
            <w:tcW w:w="7404" w:type="dxa"/>
            <w:vAlign w:val="center"/>
          </w:tcPr>
          <w:p w14:paraId="5AAA682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临床统一的消息预警提醒平台</w:t>
            </w:r>
          </w:p>
          <w:p w14:paraId="2DB8E88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对于不合格标本、危急值可以自定义设置提醒客户端类型（护士站、医生站、门诊、护工）</w:t>
            </w:r>
          </w:p>
          <w:p w14:paraId="3D6B1D7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对于不合格标本、危急值可以自定义设置提醒方式（全屏锁屏、全屏窗口、右下角弹窗）</w:t>
            </w:r>
          </w:p>
          <w:p w14:paraId="3F399D9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对于不合格标本、危急值可以自定义设置语音提示方式（音响、蜂鸣）</w:t>
            </w:r>
          </w:p>
        </w:tc>
      </w:tr>
      <w:tr w14:paraId="52E12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811" w:type="dxa"/>
            <w:vAlign w:val="center"/>
          </w:tcPr>
          <w:p w14:paraId="6D8EB07B">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20</w:t>
            </w:r>
          </w:p>
        </w:tc>
        <w:tc>
          <w:tcPr>
            <w:tcW w:w="1410" w:type="dxa"/>
            <w:vAlign w:val="center"/>
          </w:tcPr>
          <w:p w14:paraId="6509938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自动审核管理</w:t>
            </w:r>
          </w:p>
        </w:tc>
        <w:tc>
          <w:tcPr>
            <w:tcW w:w="7404" w:type="dxa"/>
            <w:vAlign w:val="center"/>
          </w:tcPr>
          <w:p w14:paraId="04EF3EB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标准：AUTO10-A、《临床实验室定量检验结果的自动审核》、ISO15189</w:t>
            </w:r>
          </w:p>
          <w:p w14:paraId="5A8A83B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规则：百余家三甲医院、70项生化、30项免疫及部分临检血液</w:t>
            </w:r>
          </w:p>
          <w:p w14:paraId="3114DB9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过程：基于本院历史大数据统计，定时更新，持续改进</w:t>
            </w:r>
          </w:p>
          <w:p w14:paraId="4797497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成果：缩短实验室报告TAT、降低人工审核差错率、提高报告质量</w:t>
            </w:r>
          </w:p>
          <w:p w14:paraId="681C9BB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自动审核启用</w:t>
            </w:r>
          </w:p>
          <w:p w14:paraId="20DE7F9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支持按照项目启用</w:t>
            </w:r>
          </w:p>
          <w:p w14:paraId="5933043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支持按照报告单元启用</w:t>
            </w:r>
          </w:p>
          <w:p w14:paraId="6E8134C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支持按照仪器启用</w:t>
            </w:r>
          </w:p>
          <w:p w14:paraId="54212A4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支持按照病人类型启用</w:t>
            </w:r>
          </w:p>
          <w:p w14:paraId="0809D3F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支持按照标本区间启用</w:t>
            </w:r>
          </w:p>
          <w:p w14:paraId="76877A7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自动审核规则分析</w:t>
            </w:r>
          </w:p>
          <w:p w14:paraId="7D48A47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自动审核范围分析</w:t>
            </w:r>
          </w:p>
          <w:p w14:paraId="7E64704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危急值范围分析</w:t>
            </w:r>
          </w:p>
          <w:p w14:paraId="302F70C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项目质控分析</w:t>
            </w:r>
          </w:p>
          <w:p w14:paraId="28E1126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仪器报警信息分析</w:t>
            </w:r>
          </w:p>
          <w:p w14:paraId="489E5F8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项目差值分析</w:t>
            </w:r>
          </w:p>
          <w:p w14:paraId="6E06CE5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项目逻辑分析</w:t>
            </w:r>
          </w:p>
          <w:p w14:paraId="5248EE3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项目关联性分析</w:t>
            </w:r>
          </w:p>
          <w:p w14:paraId="73F336D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项目未收费分析</w:t>
            </w:r>
          </w:p>
          <w:p w14:paraId="7DD3851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项目是否漏做分析</w:t>
            </w:r>
          </w:p>
          <w:p w14:paraId="673DD62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参与自动审核的数据项支持</w:t>
            </w:r>
          </w:p>
          <w:p w14:paraId="794D8F2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样本结果信息</w:t>
            </w:r>
          </w:p>
          <w:p w14:paraId="74CD0F6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样本信息</w:t>
            </w:r>
          </w:p>
          <w:p w14:paraId="0BDB532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历史检验结果信息</w:t>
            </w:r>
          </w:p>
          <w:p w14:paraId="48C7428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仪器报警信息</w:t>
            </w:r>
          </w:p>
          <w:p w14:paraId="68A84A8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流水线中间件信息</w:t>
            </w:r>
          </w:p>
          <w:p w14:paraId="35C4FB5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危急值信息</w:t>
            </w:r>
          </w:p>
          <w:p w14:paraId="04FD108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费用信息</w:t>
            </w:r>
          </w:p>
          <w:p w14:paraId="514BCA0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样本状态信息</w:t>
            </w:r>
          </w:p>
          <w:p w14:paraId="24F2CA4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结果修改信息</w:t>
            </w:r>
          </w:p>
        </w:tc>
      </w:tr>
      <w:tr w14:paraId="70A5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5491F33A">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21</w:t>
            </w:r>
          </w:p>
        </w:tc>
        <w:tc>
          <w:tcPr>
            <w:tcW w:w="1410" w:type="dxa"/>
            <w:vAlign w:val="center"/>
          </w:tcPr>
          <w:p w14:paraId="29081F64">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质控管理系统</w:t>
            </w:r>
          </w:p>
        </w:tc>
        <w:tc>
          <w:tcPr>
            <w:tcW w:w="7404" w:type="dxa"/>
            <w:vAlign w:val="center"/>
          </w:tcPr>
          <w:p w14:paraId="4CE9F5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具备质控岗位首页面板显示功能，可以显示质控数、失控数、待处理数、仪器数、项目数，图表形式显示逐月失控率曲线，失控待处理明细</w:t>
            </w:r>
            <w:r>
              <w:rPr>
                <w:rFonts w:hint="eastAsia" w:ascii="宋体" w:hAnsi="宋体" w:eastAsia="宋体" w:cs="宋体"/>
                <w:b/>
                <w:bCs/>
                <w:strike w:val="0"/>
                <w:dstrike w:val="0"/>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strike w:val="0"/>
                <w:dstrike w:val="0"/>
                <w:color w:val="auto"/>
                <w:kern w:val="0"/>
                <w:sz w:val="24"/>
                <w:szCs w:val="24"/>
                <w:highlight w:val="none"/>
              </w:rPr>
              <w:t>需</w:t>
            </w:r>
            <w:r>
              <w:rPr>
                <w:rFonts w:hint="eastAsia" w:ascii="宋体" w:hAnsi="宋体" w:eastAsia="宋体" w:cs="宋体"/>
                <w:b/>
                <w:bCs/>
                <w:strike w:val="0"/>
                <w:dstrike w:val="0"/>
                <w:color w:val="auto"/>
                <w:kern w:val="0"/>
                <w:sz w:val="24"/>
                <w:szCs w:val="24"/>
                <w:highlight w:val="none"/>
                <w:lang w:val="en-US" w:eastAsia="zh-CN"/>
              </w:rPr>
              <w:t>提供</w:t>
            </w:r>
            <w:r>
              <w:rPr>
                <w:rFonts w:hint="eastAsia" w:ascii="宋体" w:hAnsi="宋体" w:eastAsia="宋体" w:cs="宋体"/>
                <w:b/>
                <w:bCs/>
                <w:strike w:val="0"/>
                <w:dstrike w:val="0"/>
                <w:color w:val="auto"/>
                <w:kern w:val="0"/>
                <w:sz w:val="24"/>
                <w:szCs w:val="24"/>
                <w:highlight w:val="none"/>
              </w:rPr>
              <w:t>软件操作界面的截图佐证）</w:t>
            </w:r>
          </w:p>
          <w:p w14:paraId="24CD632B">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基础数据维护</w:t>
            </w:r>
          </w:p>
          <w:p w14:paraId="30CFFB5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支持质控仪器化管理，</w:t>
            </w:r>
          </w:p>
          <w:p w14:paraId="06597DE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支持按照仪器，流水线模块设置质控品、质控品内容包括仪器、质控品名称、批号、水平启用日期、有效期等</w:t>
            </w:r>
            <w:r>
              <w:rPr>
                <w:rFonts w:hint="eastAsia" w:ascii="宋体" w:hAnsi="宋体" w:eastAsia="宋体" w:cs="宋体"/>
                <w:color w:val="auto"/>
                <w:kern w:val="0"/>
                <w:sz w:val="24"/>
                <w:szCs w:val="24"/>
                <w:highlight w:val="none"/>
                <w:lang w:eastAsia="zh-CN"/>
              </w:rPr>
              <w:t>。</w:t>
            </w:r>
          </w:p>
          <w:p w14:paraId="20076A8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支持按照质控项目设置试剂供应商、试剂批号、方法学、校准品批号等</w:t>
            </w:r>
            <w:r>
              <w:rPr>
                <w:rFonts w:hint="eastAsia" w:ascii="宋体" w:hAnsi="宋体" w:eastAsia="宋体" w:cs="宋体"/>
                <w:color w:val="auto"/>
                <w:kern w:val="0"/>
                <w:sz w:val="24"/>
                <w:szCs w:val="24"/>
                <w:highlight w:val="none"/>
                <w:lang w:eastAsia="zh-CN"/>
              </w:rPr>
              <w:t>。</w:t>
            </w:r>
          </w:p>
          <w:p w14:paraId="3F75EA6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靶值支持启用时间设置、支持更换靶值后按照启用时间画图</w:t>
            </w:r>
            <w:r>
              <w:rPr>
                <w:rFonts w:hint="eastAsia" w:ascii="宋体" w:hAnsi="宋体" w:eastAsia="宋体" w:cs="宋体"/>
                <w:color w:val="auto"/>
                <w:kern w:val="0"/>
                <w:sz w:val="24"/>
                <w:szCs w:val="24"/>
                <w:highlight w:val="none"/>
                <w:lang w:eastAsia="zh-CN"/>
              </w:rPr>
              <w:t>。</w:t>
            </w:r>
          </w:p>
          <w:p w14:paraId="16EF515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支持按照仪器、项目设置质控规则</w:t>
            </w:r>
            <w:r>
              <w:rPr>
                <w:rFonts w:hint="eastAsia" w:ascii="宋体" w:hAnsi="宋体" w:eastAsia="宋体" w:cs="宋体"/>
                <w:color w:val="auto"/>
                <w:kern w:val="0"/>
                <w:sz w:val="24"/>
                <w:szCs w:val="24"/>
                <w:highlight w:val="none"/>
                <w:lang w:eastAsia="zh-CN"/>
              </w:rPr>
              <w:t>。</w:t>
            </w:r>
          </w:p>
          <w:p w14:paraId="208F2889">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质控种类</w:t>
            </w:r>
            <w:r>
              <w:rPr>
                <w:rFonts w:hint="eastAsia" w:ascii="宋体" w:hAnsi="宋体" w:eastAsia="宋体" w:cs="宋体"/>
                <w:color w:val="auto"/>
                <w:kern w:val="0"/>
                <w:sz w:val="24"/>
                <w:szCs w:val="24"/>
                <w:highlight w:val="none"/>
                <w:lang w:eastAsia="zh-CN"/>
              </w:rPr>
              <w:t>。</w:t>
            </w:r>
          </w:p>
          <w:p w14:paraId="042D65A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一般定量项目质控；</w:t>
            </w:r>
          </w:p>
          <w:p w14:paraId="388F8D8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定性---半定量质控；</w:t>
            </w:r>
          </w:p>
          <w:p w14:paraId="4539804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细菌质控；</w:t>
            </w:r>
          </w:p>
          <w:p w14:paraId="67F34043">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常用质控图形</w:t>
            </w:r>
          </w:p>
          <w:p w14:paraId="797979B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WestGard质控图</w:t>
            </w:r>
          </w:p>
          <w:p w14:paraId="15C19E6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Youden质控图</w:t>
            </w:r>
          </w:p>
          <w:p w14:paraId="4EA8A1B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Westgard-Sigma西格玛质控规则分析方法</w:t>
            </w:r>
          </w:p>
          <w:p w14:paraId="08F5401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支持按照仪器、批号画质控图</w:t>
            </w:r>
          </w:p>
          <w:p w14:paraId="101135D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同一个仪器、用一批号、同一天多个质控点可以在同一个质控图画图展示</w:t>
            </w:r>
          </w:p>
          <w:p w14:paraId="33F0287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支持同一批号画质控图可以按照所有点、最后点、最好点画图</w:t>
            </w:r>
          </w:p>
          <w:p w14:paraId="6A508CB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支持不分批号画图</w:t>
            </w:r>
          </w:p>
          <w:p w14:paraId="189A707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支持多选批号画图</w:t>
            </w:r>
          </w:p>
          <w:p w14:paraId="44CA8BD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可以自定义质控数据是否画图、累计</w:t>
            </w:r>
          </w:p>
          <w:p w14:paraId="3FD25CD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支持质控图鼠标放质控点可以显示批号、靶值、测定值、日期</w:t>
            </w:r>
          </w:p>
          <w:p w14:paraId="12B4B05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失控支持填写失控原因、失控处理、处理结果、修正结果、临床影响、预防措施</w:t>
            </w:r>
          </w:p>
          <w:p w14:paraId="764381D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丰富的质控方法</w:t>
            </w:r>
          </w:p>
          <w:p w14:paraId="1554A0B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常用质控规则包括：</w:t>
            </w:r>
          </w:p>
          <w:p w14:paraId="6718458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自定义质控组合</w:t>
            </w:r>
          </w:p>
          <w:p w14:paraId="3725328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支持按照仪器或者项目选择质控规则</w:t>
            </w:r>
          </w:p>
          <w:p w14:paraId="0C4716A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【失控处理填写】</w:t>
            </w:r>
          </w:p>
          <w:p w14:paraId="07E1B3C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失控原因填写</w:t>
            </w:r>
          </w:p>
          <w:p w14:paraId="57AF2E7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失控处理填写</w:t>
            </w:r>
          </w:p>
          <w:p w14:paraId="184D576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处理结果填写</w:t>
            </w:r>
          </w:p>
          <w:p w14:paraId="523DF45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临床影响填写</w:t>
            </w:r>
          </w:p>
          <w:p w14:paraId="46CC9E6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预防措施填写</w:t>
            </w:r>
          </w:p>
          <w:p w14:paraId="6215A96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填写内容可以形成模板，自由选择模板</w:t>
            </w:r>
          </w:p>
          <w:p w14:paraId="1A78657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失控报告归档</w:t>
            </w:r>
          </w:p>
          <w:p w14:paraId="73FB000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【常用质控报表】</w:t>
            </w:r>
          </w:p>
          <w:p w14:paraId="06136C8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质控月汇总表</w:t>
            </w:r>
          </w:p>
          <w:p w14:paraId="1DC6B95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质控品项目统计</w:t>
            </w:r>
          </w:p>
          <w:p w14:paraId="6FD59E6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质控CV统计</w:t>
            </w:r>
          </w:p>
          <w:p w14:paraId="1CEFACA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质控月统计表</w:t>
            </w:r>
          </w:p>
          <w:p w14:paraId="6F14901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质控月度统计</w:t>
            </w:r>
          </w:p>
          <w:p w14:paraId="40646770">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【质控比对报表】</w:t>
            </w:r>
          </w:p>
          <w:p w14:paraId="711D0C7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室间质评登记</w:t>
            </w:r>
          </w:p>
          <w:p w14:paraId="10BA94F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仪器质控数据比对</w:t>
            </w:r>
          </w:p>
          <w:p w14:paraId="7C6E8C84">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【质控平行方案】</w:t>
            </w:r>
          </w:p>
          <w:p w14:paraId="0420E93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平行实验设置</w:t>
            </w:r>
          </w:p>
          <w:p w14:paraId="4A2ECCD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平行实验执行</w:t>
            </w:r>
          </w:p>
          <w:p w14:paraId="201328E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平行实验结果分析</w:t>
            </w:r>
          </w:p>
        </w:tc>
      </w:tr>
      <w:tr w14:paraId="2C3C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929158F">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22</w:t>
            </w:r>
          </w:p>
        </w:tc>
        <w:tc>
          <w:tcPr>
            <w:tcW w:w="1410" w:type="dxa"/>
            <w:vAlign w:val="center"/>
          </w:tcPr>
          <w:p w14:paraId="5F17BF7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日常统计</w:t>
            </w:r>
          </w:p>
        </w:tc>
        <w:tc>
          <w:tcPr>
            <w:tcW w:w="7404" w:type="dxa"/>
            <w:vAlign w:val="center"/>
          </w:tcPr>
          <w:p w14:paraId="59750E3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统计报表支持所有的统计因子支持用户根据需要，自由选择按其中一个或多个因子进行统计，即可得到自己所需的统计结果，这种可以派生出无数种统计报表</w:t>
            </w:r>
            <w:r>
              <w:rPr>
                <w:rFonts w:hint="eastAsia" w:ascii="宋体" w:hAnsi="宋体" w:eastAsia="宋体" w:cs="宋体"/>
                <w:color w:val="auto"/>
                <w:kern w:val="0"/>
                <w:sz w:val="24"/>
                <w:szCs w:val="24"/>
                <w:highlight w:val="none"/>
                <w:lang w:eastAsia="zh-CN"/>
              </w:rPr>
              <w:t>。</w:t>
            </w:r>
          </w:p>
          <w:p w14:paraId="15B4DB5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所有统计结果支持打印和导出Excel等</w:t>
            </w:r>
            <w:r>
              <w:rPr>
                <w:rFonts w:hint="eastAsia" w:ascii="宋体" w:hAnsi="宋体" w:eastAsia="宋体" w:cs="宋体"/>
                <w:color w:val="auto"/>
                <w:kern w:val="0"/>
                <w:sz w:val="24"/>
                <w:szCs w:val="24"/>
                <w:highlight w:val="none"/>
                <w:lang w:eastAsia="zh-CN"/>
              </w:rPr>
              <w:t>。</w:t>
            </w:r>
          </w:p>
          <w:p w14:paraId="7E1B844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支持统计打印格式调整</w:t>
            </w:r>
            <w:r>
              <w:rPr>
                <w:rFonts w:hint="eastAsia" w:ascii="宋体" w:hAnsi="宋体" w:eastAsia="宋体" w:cs="宋体"/>
                <w:color w:val="auto"/>
                <w:kern w:val="0"/>
                <w:sz w:val="24"/>
                <w:szCs w:val="24"/>
                <w:highlight w:val="none"/>
                <w:lang w:eastAsia="zh-CN"/>
              </w:rPr>
              <w:t>。</w:t>
            </w:r>
          </w:p>
          <w:p w14:paraId="1A8D46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常见统计结果支持双击可以直接查看对应的统计结果明细数据</w:t>
            </w:r>
            <w:r>
              <w:rPr>
                <w:rFonts w:hint="eastAsia" w:ascii="宋体" w:hAnsi="宋体" w:eastAsia="宋体" w:cs="宋体"/>
                <w:color w:val="auto"/>
                <w:kern w:val="0"/>
                <w:sz w:val="24"/>
                <w:szCs w:val="24"/>
                <w:highlight w:val="none"/>
                <w:lang w:eastAsia="zh-CN"/>
              </w:rPr>
              <w:t>。</w:t>
            </w:r>
          </w:p>
        </w:tc>
      </w:tr>
      <w:tr w14:paraId="7932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11215D19">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23</w:t>
            </w:r>
          </w:p>
        </w:tc>
        <w:tc>
          <w:tcPr>
            <w:tcW w:w="1410" w:type="dxa"/>
            <w:vAlign w:val="center"/>
          </w:tcPr>
          <w:p w14:paraId="2BEE6F3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TAT统计</w:t>
            </w:r>
          </w:p>
        </w:tc>
        <w:tc>
          <w:tcPr>
            <w:tcW w:w="7404" w:type="dxa"/>
            <w:vAlign w:val="center"/>
          </w:tcPr>
          <w:p w14:paraId="30940AF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用于 TAT 全过程时间节点：申请时间-采样时间-归集时间-送出时间-送达时间-接收时间-上机时间-分析完成时间-报告时间-阅读时间</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p>
          <w:p w14:paraId="1EAA15C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标本全局：申请-报告、采集-报告</w:t>
            </w:r>
          </w:p>
          <w:p w14:paraId="6A47503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采集及时性：申请-采集</w:t>
            </w:r>
          </w:p>
          <w:p w14:paraId="0FE416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送检及时性：采集-接收</w:t>
            </w:r>
          </w:p>
          <w:p w14:paraId="071C94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采集-送出、归集-送出、归集-送达</w:t>
            </w:r>
          </w:p>
          <w:p w14:paraId="60019DF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检验及时性：接收-报告</w:t>
            </w:r>
          </w:p>
          <w:p w14:paraId="34AA1C7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接收-上机、上机-结果完成、结果完成-报告</w:t>
            </w:r>
          </w:p>
          <w:p w14:paraId="722FAF9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应用及时性：报告-报告应用</w:t>
            </w:r>
          </w:p>
          <w:p w14:paraId="63EF616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总体指标包括：总标本数、有效标本数、最长时间、最短时间、平均时间、合格标本数、不合格标本数</w:t>
            </w:r>
            <w:r>
              <w:rPr>
                <w:rFonts w:hint="eastAsia" w:ascii="宋体" w:hAnsi="宋体" w:eastAsia="宋体" w:cs="宋体"/>
                <w:color w:val="auto"/>
                <w:kern w:val="0"/>
                <w:sz w:val="24"/>
                <w:szCs w:val="24"/>
                <w:highlight w:val="none"/>
                <w:lang w:eastAsia="zh-CN"/>
              </w:rPr>
              <w:t>。</w:t>
            </w:r>
          </w:p>
          <w:p w14:paraId="5EC87C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TAT 时间指标包括：平均 TAT 时间、MAX、MIN、P2.5、P25、P50、P75、P97.5</w:t>
            </w:r>
            <w:r>
              <w:rPr>
                <w:rFonts w:hint="eastAsia" w:ascii="宋体" w:hAnsi="宋体" w:eastAsia="宋体" w:cs="宋体"/>
                <w:color w:val="auto"/>
                <w:kern w:val="0"/>
                <w:sz w:val="24"/>
                <w:szCs w:val="24"/>
                <w:highlight w:val="none"/>
                <w:lang w:eastAsia="zh-CN"/>
              </w:rPr>
              <w:t>。</w:t>
            </w:r>
          </w:p>
          <w:p w14:paraId="1AE3087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分析条件包括：申请项目单元、分析项目单元、分析单元、送检部门单元、医疗机构单元、标本类型单元、患者类型单元</w:t>
            </w:r>
            <w:r>
              <w:rPr>
                <w:rFonts w:hint="eastAsia" w:ascii="宋体" w:hAnsi="宋体" w:eastAsia="宋体" w:cs="宋体"/>
                <w:color w:val="auto"/>
                <w:kern w:val="0"/>
                <w:sz w:val="24"/>
                <w:szCs w:val="24"/>
                <w:highlight w:val="none"/>
                <w:lang w:eastAsia="zh-CN"/>
              </w:rPr>
              <w:t>。</w:t>
            </w:r>
          </w:p>
          <w:p w14:paraId="08FF9C6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汇总表栏目包括：分析单元、送检部门单元、医疗机构单元、标本类型单元、患者类型单元、时间单元（时间段、日、周、月、年）</w:t>
            </w:r>
            <w:r>
              <w:rPr>
                <w:rFonts w:hint="eastAsia" w:ascii="宋体" w:hAnsi="宋体" w:eastAsia="宋体" w:cs="宋体"/>
                <w:color w:val="auto"/>
                <w:kern w:val="0"/>
                <w:sz w:val="24"/>
                <w:szCs w:val="24"/>
                <w:highlight w:val="none"/>
                <w:lang w:eastAsia="zh-CN"/>
              </w:rPr>
              <w:t>。</w:t>
            </w:r>
          </w:p>
          <w:p w14:paraId="6AB1840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汇总表项目包括：申请项目、报告项目</w:t>
            </w:r>
            <w:r>
              <w:rPr>
                <w:rFonts w:hint="eastAsia" w:ascii="宋体" w:hAnsi="宋体" w:eastAsia="宋体" w:cs="宋体"/>
                <w:color w:val="auto"/>
                <w:kern w:val="0"/>
                <w:sz w:val="24"/>
                <w:szCs w:val="24"/>
                <w:highlight w:val="none"/>
                <w:lang w:eastAsia="zh-CN"/>
              </w:rPr>
              <w:t>。</w:t>
            </w:r>
          </w:p>
        </w:tc>
      </w:tr>
      <w:tr w14:paraId="2F25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restart"/>
            <w:vAlign w:val="center"/>
          </w:tcPr>
          <w:p w14:paraId="6B363070">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24</w:t>
            </w:r>
          </w:p>
        </w:tc>
        <w:tc>
          <w:tcPr>
            <w:tcW w:w="1410" w:type="dxa"/>
            <w:vMerge w:val="restart"/>
            <w:vAlign w:val="center"/>
          </w:tcPr>
          <w:p w14:paraId="19B904D9">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bookmarkStart w:id="225" w:name="_Toc92725163"/>
            <w:r>
              <w:rPr>
                <w:rFonts w:hint="eastAsia" w:ascii="宋体" w:hAnsi="宋体" w:eastAsia="宋体" w:cs="宋体"/>
                <w:b/>
                <w:color w:val="auto"/>
                <w:kern w:val="0"/>
                <w:sz w:val="24"/>
                <w:szCs w:val="24"/>
                <w:highlight w:val="none"/>
              </w:rPr>
              <w:t>微生物全过程管理</w:t>
            </w:r>
            <w:bookmarkEnd w:id="225"/>
          </w:p>
        </w:tc>
        <w:tc>
          <w:tcPr>
            <w:tcW w:w="7404" w:type="dxa"/>
            <w:vAlign w:val="center"/>
          </w:tcPr>
          <w:p w14:paraId="2F7213A4">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bookmarkStart w:id="226" w:name="_Toc92725164"/>
            <w:r>
              <w:rPr>
                <w:rFonts w:hint="eastAsia" w:ascii="宋体" w:hAnsi="宋体" w:eastAsia="宋体" w:cs="宋体"/>
                <w:b/>
                <w:color w:val="auto"/>
                <w:kern w:val="0"/>
                <w:sz w:val="24"/>
                <w:szCs w:val="24"/>
                <w:highlight w:val="none"/>
              </w:rPr>
              <w:t>微生物无纸化总体要求</w:t>
            </w:r>
            <w:bookmarkEnd w:id="226"/>
          </w:p>
          <w:p w14:paraId="0958D19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实现微生物检验从标本接收登记、标本处理、涂片镜检、仪器培养、菌落观察、鉴定药敏、报告处理、菌种保存、危急值处理、环境卫生学监测等的全过程管理。</w:t>
            </w:r>
          </w:p>
          <w:p w14:paraId="1FCD2CF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实现微生物名称、药敏名称等数据标准化。</w:t>
            </w:r>
          </w:p>
          <w:p w14:paraId="697FADE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实现微生物检验全程条码化管理（标本条形码、培养皿条形码、玻片条形码、工作单条形码、条形码上机）</w:t>
            </w:r>
          </w:p>
          <w:p w14:paraId="4FD062A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现真正微生物三级报告，及时为临床提供有价值的信息，辅助临床更好的服务患者。一级报告涂片或染色结果发布报告，临床医师弹窗提醒可直接查看报告，不能打印。二级报告阳性菌初步药敏结果发布，临床医师弹窗提醒可直接查看报告，不能打印。三级报告：细菌鉴定及药敏试验的最后报告，为正式报告，临床可查看打印。</w:t>
            </w:r>
          </w:p>
          <w:p w14:paraId="66F2500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微生物耐药机制：提供多重耐药机制按照规则维护，耐药机制自动识别，符合规则自动弹窗提醒，上报后临床自动弹窗提醒，及时为临床反馈重要信息。</w:t>
            </w:r>
          </w:p>
          <w:p w14:paraId="497F25A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自动标记血培养污染。</w:t>
            </w:r>
          </w:p>
          <w:p w14:paraId="24023B4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支持微生物检验分步计费</w:t>
            </w:r>
            <w:r>
              <w:rPr>
                <w:rFonts w:hint="eastAsia" w:ascii="宋体" w:hAnsi="宋体" w:eastAsia="宋体" w:cs="宋体"/>
                <w:color w:val="auto"/>
                <w:kern w:val="0"/>
                <w:sz w:val="24"/>
                <w:szCs w:val="24"/>
                <w:highlight w:val="none"/>
                <w:lang w:eastAsia="zh-CN"/>
              </w:rPr>
              <w:t>。</w:t>
            </w:r>
          </w:p>
          <w:p w14:paraId="3C2F928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具有丰富的微生物报告单样式</w:t>
            </w:r>
            <w:r>
              <w:rPr>
                <w:rFonts w:hint="eastAsia" w:ascii="宋体" w:hAnsi="宋体" w:eastAsia="宋体" w:cs="宋体"/>
                <w:color w:val="auto"/>
                <w:kern w:val="0"/>
                <w:sz w:val="24"/>
                <w:szCs w:val="24"/>
                <w:highlight w:val="none"/>
                <w:lang w:eastAsia="zh-CN"/>
              </w:rPr>
              <w:t>。</w:t>
            </w:r>
          </w:p>
          <w:p w14:paraId="1E9F7AD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微生物检验数据直接导入Whonet：</w:t>
            </w:r>
          </w:p>
          <w:p w14:paraId="022B69B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支持微生物智能专家规则：通过对病人信息、样本信息、菌落信息、药敏结果信息、其他检验结果信息，进行智能分析后，自动生成专家评语、生成耐药机制、增减抗生素、标记危急值、标记传染、标记危害等。</w:t>
            </w:r>
          </w:p>
          <w:p w14:paraId="0492477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具备多途径结果回顾。</w:t>
            </w:r>
          </w:p>
          <w:p w14:paraId="2B96BD1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所有标本：该病人所有标本的微生物检验结果。</w:t>
            </w:r>
          </w:p>
          <w:p w14:paraId="5088E72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同类标本：该病人同类标本（比如呼吸道等）的微生物检验结果。</w:t>
            </w:r>
          </w:p>
          <w:p w14:paraId="6A8296C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相同标本：该病人相同标本的微生物检验结果。</w:t>
            </w:r>
          </w:p>
          <w:p w14:paraId="3452BD9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同一标本：该病人同一份标本的微生物检验结果。</w:t>
            </w:r>
          </w:p>
          <w:p w14:paraId="036DA1F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感染指标：该病人所有其他专业组检验小项结果（例如：白细胞、降钙素原等）。</w:t>
            </w:r>
          </w:p>
          <w:p w14:paraId="347C929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相关检验：该病人同一标本其他专业组检验结果（例如脑脊液培养可以回顾其脑脊液生化的结果）。</w:t>
            </w:r>
          </w:p>
        </w:tc>
      </w:tr>
      <w:tr w14:paraId="276D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4A0B1D71">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3E58F3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6AE8C7DD">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标本接收与接种</w:t>
            </w:r>
          </w:p>
          <w:p w14:paraId="0C160E1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标本接收时根据标本种类和送检目的按照预设规则进行自动编号</w:t>
            </w:r>
            <w:r>
              <w:rPr>
                <w:rFonts w:hint="eastAsia" w:ascii="宋体" w:hAnsi="宋体" w:eastAsia="宋体" w:cs="宋体"/>
                <w:color w:val="auto"/>
                <w:kern w:val="0"/>
                <w:sz w:val="24"/>
                <w:szCs w:val="24"/>
                <w:highlight w:val="none"/>
                <w:lang w:eastAsia="zh-CN"/>
              </w:rPr>
              <w:t>。</w:t>
            </w:r>
          </w:p>
          <w:p w14:paraId="53F2515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标本接收时根据标本种类和送检目的按照预设规则分配默认培养基方案</w:t>
            </w:r>
            <w:r>
              <w:rPr>
                <w:rFonts w:hint="eastAsia" w:ascii="宋体" w:hAnsi="宋体" w:eastAsia="宋体" w:cs="宋体"/>
                <w:color w:val="auto"/>
                <w:kern w:val="0"/>
                <w:sz w:val="24"/>
                <w:szCs w:val="24"/>
                <w:highlight w:val="none"/>
                <w:lang w:eastAsia="zh-CN"/>
              </w:rPr>
              <w:t>。</w:t>
            </w:r>
          </w:p>
          <w:p w14:paraId="0C15928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可以进行备选培养基方案选择</w:t>
            </w:r>
            <w:r>
              <w:rPr>
                <w:rFonts w:hint="eastAsia" w:ascii="宋体" w:hAnsi="宋体" w:eastAsia="宋体" w:cs="宋体"/>
                <w:color w:val="auto"/>
                <w:kern w:val="0"/>
                <w:sz w:val="24"/>
                <w:szCs w:val="24"/>
                <w:highlight w:val="none"/>
                <w:lang w:eastAsia="zh-CN"/>
              </w:rPr>
              <w:t>。</w:t>
            </w:r>
          </w:p>
          <w:p w14:paraId="27EEF46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标本退回，对已接收的标本做退回处理，记录退回原因</w:t>
            </w:r>
            <w:r>
              <w:rPr>
                <w:rFonts w:hint="eastAsia" w:ascii="宋体" w:hAnsi="宋体" w:eastAsia="宋体" w:cs="宋体"/>
                <w:color w:val="auto"/>
                <w:kern w:val="0"/>
                <w:sz w:val="24"/>
                <w:szCs w:val="24"/>
                <w:highlight w:val="none"/>
                <w:lang w:eastAsia="zh-CN"/>
              </w:rPr>
              <w:t>。</w:t>
            </w:r>
          </w:p>
          <w:p w14:paraId="2F4FD5E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接收的标本按照培养基方案打印培养基标签</w:t>
            </w:r>
            <w:r>
              <w:rPr>
                <w:rFonts w:hint="eastAsia" w:ascii="宋体" w:hAnsi="宋体" w:eastAsia="宋体" w:cs="宋体"/>
                <w:color w:val="auto"/>
                <w:kern w:val="0"/>
                <w:sz w:val="24"/>
                <w:szCs w:val="24"/>
                <w:highlight w:val="none"/>
                <w:lang w:eastAsia="zh-CN"/>
              </w:rPr>
              <w:t>。</w:t>
            </w:r>
          </w:p>
          <w:p w14:paraId="3D77F26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标本标签重新打印</w:t>
            </w:r>
            <w:r>
              <w:rPr>
                <w:rFonts w:hint="eastAsia" w:ascii="宋体" w:hAnsi="宋体" w:eastAsia="宋体" w:cs="宋体"/>
                <w:color w:val="auto"/>
                <w:kern w:val="0"/>
                <w:sz w:val="24"/>
                <w:szCs w:val="24"/>
                <w:highlight w:val="none"/>
                <w:lang w:eastAsia="zh-CN"/>
              </w:rPr>
              <w:t>。</w:t>
            </w:r>
          </w:p>
          <w:p w14:paraId="4889F17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培养基标签重新打印</w:t>
            </w:r>
            <w:r>
              <w:rPr>
                <w:rFonts w:hint="eastAsia" w:ascii="宋体" w:hAnsi="宋体" w:eastAsia="宋体" w:cs="宋体"/>
                <w:color w:val="auto"/>
                <w:kern w:val="0"/>
                <w:sz w:val="24"/>
                <w:szCs w:val="24"/>
                <w:highlight w:val="none"/>
                <w:lang w:eastAsia="zh-CN"/>
              </w:rPr>
              <w:t>。</w:t>
            </w:r>
          </w:p>
          <w:p w14:paraId="15ABEE4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细菌流程单打印</w:t>
            </w:r>
            <w:r>
              <w:rPr>
                <w:rFonts w:hint="eastAsia" w:ascii="宋体" w:hAnsi="宋体" w:eastAsia="宋体" w:cs="宋体"/>
                <w:color w:val="auto"/>
                <w:kern w:val="0"/>
                <w:sz w:val="24"/>
                <w:szCs w:val="24"/>
                <w:highlight w:val="none"/>
                <w:lang w:eastAsia="zh-CN"/>
              </w:rPr>
              <w:t>。</w:t>
            </w:r>
          </w:p>
          <w:p w14:paraId="1E5564D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血培养接收自动称重，自动计算血培养瓶中血量，对于血量不足或者血量超标可以自动提醒，形成血培养采集量统计、分析报告</w:t>
            </w:r>
            <w:r>
              <w:rPr>
                <w:rFonts w:hint="eastAsia" w:ascii="宋体" w:hAnsi="宋体" w:eastAsia="宋体" w:cs="宋体"/>
                <w:color w:val="auto"/>
                <w:kern w:val="0"/>
                <w:sz w:val="24"/>
                <w:szCs w:val="24"/>
                <w:highlight w:val="none"/>
                <w:lang w:eastAsia="zh-CN"/>
              </w:rPr>
              <w:t>。</w:t>
            </w:r>
          </w:p>
        </w:tc>
      </w:tr>
      <w:tr w14:paraId="3D11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06E76B80">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6336B44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325B0EA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涂片镜检</w:t>
            </w:r>
          </w:p>
          <w:p w14:paraId="528968D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图像采集：从指定设备采集镜下图像，或第三方系统中读取镜下图像。</w:t>
            </w:r>
          </w:p>
          <w:p w14:paraId="6D825B5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选择模板进行结果发布</w:t>
            </w:r>
          </w:p>
        </w:tc>
      </w:tr>
      <w:tr w14:paraId="150A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811" w:type="dxa"/>
            <w:vMerge w:val="continue"/>
            <w:vAlign w:val="center"/>
          </w:tcPr>
          <w:p w14:paraId="28FEA137">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677FBF3A">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7635F73E">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仪器培养</w:t>
            </w:r>
          </w:p>
          <w:p w14:paraId="51A01E8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虚拟图形化：通过与培养仪联机能监测到当前全部在箱标本位置及当前结果。</w:t>
            </w:r>
          </w:p>
          <w:p w14:paraId="431BADE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位置查询：能查询到指定标本在箱位置及当前结果。</w:t>
            </w:r>
          </w:p>
          <w:p w14:paraId="0C81457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异常标本监测：能监测仪器内异常标本情况。</w:t>
            </w:r>
          </w:p>
          <w:p w14:paraId="07BCEF0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匿名瓶监测：能监测到仪器内匿名瓶情况。</w:t>
            </w:r>
          </w:p>
          <w:p w14:paraId="0338D87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血培养上机时间记录</w:t>
            </w:r>
            <w:r>
              <w:rPr>
                <w:rFonts w:hint="eastAsia" w:ascii="宋体" w:hAnsi="宋体" w:eastAsia="宋体" w:cs="宋体"/>
                <w:color w:val="auto"/>
                <w:kern w:val="0"/>
                <w:sz w:val="24"/>
                <w:szCs w:val="24"/>
                <w:highlight w:val="none"/>
                <w:lang w:eastAsia="zh-CN"/>
              </w:rPr>
              <w:t>。</w:t>
            </w:r>
          </w:p>
          <w:p w14:paraId="4B1E3C5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血培养培养时间记录</w:t>
            </w:r>
            <w:r>
              <w:rPr>
                <w:rFonts w:hint="eastAsia" w:ascii="宋体" w:hAnsi="宋体" w:eastAsia="宋体" w:cs="宋体"/>
                <w:color w:val="auto"/>
                <w:kern w:val="0"/>
                <w:sz w:val="24"/>
                <w:szCs w:val="24"/>
                <w:highlight w:val="none"/>
                <w:lang w:eastAsia="zh-CN"/>
              </w:rPr>
              <w:t>。</w:t>
            </w:r>
          </w:p>
          <w:p w14:paraId="0381D75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血培养阴性按照预定义规则自动发布</w:t>
            </w:r>
            <w:r>
              <w:rPr>
                <w:rFonts w:hint="eastAsia" w:ascii="宋体" w:hAnsi="宋体" w:eastAsia="宋体" w:cs="宋体"/>
                <w:color w:val="auto"/>
                <w:kern w:val="0"/>
                <w:sz w:val="24"/>
                <w:szCs w:val="24"/>
                <w:highlight w:val="none"/>
                <w:lang w:eastAsia="zh-CN"/>
              </w:rPr>
              <w:t>。</w:t>
            </w:r>
          </w:p>
          <w:p w14:paraId="290B78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血培养阴性批量发布</w:t>
            </w:r>
            <w:r>
              <w:rPr>
                <w:rFonts w:hint="eastAsia" w:ascii="宋体" w:hAnsi="宋体" w:eastAsia="宋体" w:cs="宋体"/>
                <w:color w:val="auto"/>
                <w:kern w:val="0"/>
                <w:sz w:val="24"/>
                <w:szCs w:val="24"/>
                <w:highlight w:val="none"/>
                <w:lang w:eastAsia="zh-CN"/>
              </w:rPr>
              <w:t>。</w:t>
            </w:r>
          </w:p>
          <w:p w14:paraId="769245D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阳性自动打印下一步标签/工作单：仪器报阳后，下一步（转种标签、工作单、阳性登记标签），自动记录报阳时间。</w:t>
            </w:r>
          </w:p>
          <w:p w14:paraId="5C5192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阴性批量报告：对已下机（未下机）阴性批量默认及报告功能。</w:t>
            </w:r>
          </w:p>
        </w:tc>
      </w:tr>
      <w:tr w14:paraId="4E80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4D430EAB">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7452AC57">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56ECF20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菌落观察</w:t>
            </w:r>
          </w:p>
          <w:p w14:paraId="571488B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菌落观察结果记录功能：对菌落形态、计数、初步鉴定记录功能</w:t>
            </w:r>
            <w:r>
              <w:rPr>
                <w:rFonts w:hint="eastAsia" w:ascii="宋体" w:hAnsi="宋体" w:eastAsia="宋体" w:cs="宋体"/>
                <w:color w:val="auto"/>
                <w:kern w:val="0"/>
                <w:sz w:val="24"/>
                <w:szCs w:val="24"/>
                <w:highlight w:val="none"/>
                <w:lang w:eastAsia="zh-CN"/>
              </w:rPr>
              <w:t>。</w:t>
            </w:r>
          </w:p>
          <w:p w14:paraId="72FCF87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菌落计数填写</w:t>
            </w:r>
            <w:r>
              <w:rPr>
                <w:rFonts w:hint="eastAsia" w:ascii="宋体" w:hAnsi="宋体" w:eastAsia="宋体" w:cs="宋体"/>
                <w:color w:val="auto"/>
                <w:kern w:val="0"/>
                <w:sz w:val="24"/>
                <w:szCs w:val="24"/>
                <w:highlight w:val="none"/>
                <w:lang w:eastAsia="zh-CN"/>
              </w:rPr>
              <w:t>。</w:t>
            </w:r>
          </w:p>
          <w:p w14:paraId="1AAE503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下一步记录功能：例如下一步（涂片、转种、分纯、药敏）操作的记录功能。</w:t>
            </w:r>
          </w:p>
          <w:p w14:paraId="1995664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续报功能：对已选标本进行续报，复制其前一天结果。</w:t>
            </w:r>
          </w:p>
          <w:p w14:paraId="60C5069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续培功能：对已选标本进行续培，自动延长其培养时间。</w:t>
            </w:r>
          </w:p>
          <w:p w14:paraId="3FC2A24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转种标签功能：打印转种标签（包含菌株信息等）。</w:t>
            </w:r>
          </w:p>
          <w:p w14:paraId="0B8DC83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鉴定药敏标签功能：打印鉴定药敏标签(包含鉴定药敏流水号等)。</w:t>
            </w:r>
          </w:p>
          <w:p w14:paraId="144244A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菌株编号功能：对分离菌株进行编号功能。</w:t>
            </w:r>
          </w:p>
          <w:p w14:paraId="5DCD3FB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重复上机提醒功能：对同一个病人同一部位的菌株多次上机的给予提醒。</w:t>
            </w:r>
          </w:p>
        </w:tc>
      </w:tr>
      <w:tr w14:paraId="5B57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0DEB8DCE">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4006AF13">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37B2A42C">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鉴定药敏</w:t>
            </w:r>
          </w:p>
          <w:p w14:paraId="737CE91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鉴定药敏清单：显示当日鉴定药敏工作清单。</w:t>
            </w:r>
          </w:p>
          <w:p w14:paraId="1415393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虚拟鉴定药敏架子功能：虚拟鉴定药敏架子，可在架子上排序或调整。</w:t>
            </w:r>
          </w:p>
          <w:p w14:paraId="260B9EC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仪器双向通讯功能：本模块上机的标本，自动将其病人信息、菌株信息推送给鉴定药敏仪器（或中间体软件）。</w:t>
            </w:r>
          </w:p>
          <w:p w14:paraId="7B5CF2D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上机药敏登记单:打印或预览每日上机登记药敏登记单功能。</w:t>
            </w:r>
          </w:p>
          <w:p w14:paraId="4684427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手工药敏方案：对手工药敏生成其药敏方案，并支持清单打印或预览。</w:t>
            </w:r>
          </w:p>
          <w:p w14:paraId="0F0C5A4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手工药敏结果录入：可手工录入药敏结果。</w:t>
            </w:r>
          </w:p>
          <w:p w14:paraId="5BA757E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支持第三方手工药敏接口：支持第三方系统/仪器读取手工药敏结果。</w:t>
            </w:r>
          </w:p>
          <w:p w14:paraId="5AA0239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自动补药敏费功能：根据病人及菌株信息，上机前自动补收其药敏费用。</w:t>
            </w:r>
          </w:p>
        </w:tc>
      </w:tr>
      <w:tr w14:paraId="7BE5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5C6F5B60">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1A19A06D">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13CBB65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结果报告</w:t>
            </w:r>
          </w:p>
          <w:p w14:paraId="0BD2407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标本快速筛选功能：对标本按编号、检验时间等规则进行标本筛选功能，规则可以自定义。</w:t>
            </w:r>
          </w:p>
          <w:p w14:paraId="628E64B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标本标记功能：对标本按状态进行颜色标记功能，规则可以自定义。</w:t>
            </w:r>
          </w:p>
          <w:p w14:paraId="46BE861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阴性默认功能：对标本读取其阴性默认结果功能。</w:t>
            </w:r>
          </w:p>
          <w:p w14:paraId="009CB7A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批量处理功能：批量打印、阴性默认、审核等。</w:t>
            </w:r>
          </w:p>
          <w:p w14:paraId="5ABC557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专家规则功能：根据预设规则，自动提示专家规则，规则可以自定义。</w:t>
            </w:r>
          </w:p>
          <w:p w14:paraId="6F1546D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审核规则功能：根据预设规则，审核时自动判断，对于不符合审核规则的要给予自动提醒（例如耐万古的金葡），规则可以自定义。</w:t>
            </w:r>
          </w:p>
          <w:p w14:paraId="5863DDA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传染病规则：自动标记传染病，方便后期统计或临床报卡，规则可以自定义。</w:t>
            </w:r>
          </w:p>
          <w:p w14:paraId="6832ED1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生物危害规则：自动标记为生物危害，也可在大屏上提醒，规则可以自定义。</w:t>
            </w:r>
          </w:p>
          <w:p w14:paraId="3F8667E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耐药类型自动判断：系统自动判断耐药类型。</w:t>
            </w:r>
          </w:p>
          <w:p w14:paraId="1A81B24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抗生素补充建议：可以人工查询针对当前菌株的CLSI药敏试验补充建议。</w:t>
            </w:r>
          </w:p>
          <w:p w14:paraId="2FC85FF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天然耐药：自动标记或接收结果时自动剔除天然耐药。</w:t>
            </w:r>
          </w:p>
          <w:p w14:paraId="1E786D9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生化反应：自动提取并解析仪器中的生化反应结果。</w:t>
            </w:r>
          </w:p>
          <w:p w14:paraId="20063D1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过程记录浏览：查询指定标本接收、涂片、血培养、菌落观察、鉴定药敏、报告等所有过程记录信息。</w:t>
            </w:r>
          </w:p>
          <w:p w14:paraId="178B9BF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电子病历：支持浏览该病人电子病历信息。</w:t>
            </w:r>
          </w:p>
          <w:p w14:paraId="509A31F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结果回顾：对该病人所有、同类、同天、感染指标、相关检验等结果进行回顾。</w:t>
            </w:r>
          </w:p>
          <w:p w14:paraId="49317C0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折点判断：利用最新WHONET折点规则对仪器结果重新判断。对特殊折点（例如肺炎链球菌-青霉素 脑膜炎/非脑膜炎）智能筛选其折点。</w:t>
            </w:r>
          </w:p>
          <w:p w14:paraId="0D65A77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人工补费功能：对未收药敏费用的标本，进行人工补费的功能。</w:t>
            </w:r>
          </w:p>
          <w:p w14:paraId="4E8F1CC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初报报告功能：可选择部分结果初报给临床。</w:t>
            </w:r>
          </w:p>
          <w:p w14:paraId="167ABC9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药敏结果屏蔽功能：可选择部分药敏结果不报告临床，但可用于统计。</w:t>
            </w:r>
          </w:p>
          <w:p w14:paraId="55A29F3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仪器结果接收：自动提取鉴定药敏仪上传输的结果。</w:t>
            </w:r>
          </w:p>
          <w:p w14:paraId="65DDE35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药敏组合：可选择药敏组合来批量选择药敏。</w:t>
            </w:r>
          </w:p>
        </w:tc>
      </w:tr>
      <w:tr w14:paraId="65F6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3E3F99C9">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40306185">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040EC79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细菌初步报告</w:t>
            </w:r>
          </w:p>
          <w:p w14:paraId="36242C6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细菌培养中间阴性每日自动上报</w:t>
            </w:r>
            <w:r>
              <w:rPr>
                <w:rFonts w:hint="eastAsia" w:ascii="宋体" w:hAnsi="宋体" w:eastAsia="宋体" w:cs="宋体"/>
                <w:color w:val="auto"/>
                <w:kern w:val="0"/>
                <w:sz w:val="24"/>
                <w:szCs w:val="24"/>
                <w:highlight w:val="none"/>
                <w:lang w:eastAsia="zh-CN"/>
              </w:rPr>
              <w:t>。</w:t>
            </w:r>
          </w:p>
          <w:p w14:paraId="1F35743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细菌培养达到时间自动生成阴性报告</w:t>
            </w:r>
            <w:r>
              <w:rPr>
                <w:rFonts w:hint="eastAsia" w:ascii="宋体" w:hAnsi="宋体" w:eastAsia="宋体" w:cs="宋体"/>
                <w:color w:val="auto"/>
                <w:kern w:val="0"/>
                <w:sz w:val="24"/>
                <w:szCs w:val="24"/>
                <w:highlight w:val="none"/>
                <w:lang w:eastAsia="zh-CN"/>
              </w:rPr>
              <w:t>。</w:t>
            </w:r>
          </w:p>
          <w:p w14:paraId="39B2F41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自动报阳</w:t>
            </w:r>
            <w:r>
              <w:rPr>
                <w:rFonts w:hint="eastAsia" w:ascii="宋体" w:hAnsi="宋体" w:eastAsia="宋体" w:cs="宋体"/>
                <w:color w:val="auto"/>
                <w:kern w:val="0"/>
                <w:sz w:val="24"/>
                <w:szCs w:val="24"/>
                <w:highlight w:val="none"/>
                <w:lang w:eastAsia="zh-CN"/>
              </w:rPr>
              <w:t>。</w:t>
            </w:r>
          </w:p>
          <w:p w14:paraId="424019F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自动阴性初报功能：根据箱内血培养情况，每日自动给予临床阴性初步报告。</w:t>
            </w:r>
          </w:p>
          <w:p w14:paraId="202A215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药敏初步报告自动发布</w:t>
            </w:r>
            <w:r>
              <w:rPr>
                <w:rFonts w:hint="eastAsia" w:ascii="宋体" w:hAnsi="宋体" w:eastAsia="宋体" w:cs="宋体"/>
                <w:color w:val="auto"/>
                <w:kern w:val="0"/>
                <w:sz w:val="24"/>
                <w:szCs w:val="24"/>
                <w:highlight w:val="none"/>
                <w:lang w:eastAsia="zh-CN"/>
              </w:rPr>
              <w:t>。</w:t>
            </w:r>
          </w:p>
          <w:p w14:paraId="209CADA8">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细菌三级报告</w:t>
            </w:r>
          </w:p>
          <w:p w14:paraId="69DFD1F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血培养阳性涂片报告</w:t>
            </w:r>
            <w:r>
              <w:rPr>
                <w:rFonts w:hint="eastAsia" w:ascii="宋体" w:hAnsi="宋体" w:eastAsia="宋体" w:cs="宋体"/>
                <w:color w:val="auto"/>
                <w:kern w:val="0"/>
                <w:sz w:val="24"/>
                <w:szCs w:val="24"/>
                <w:highlight w:val="none"/>
                <w:lang w:eastAsia="zh-CN"/>
              </w:rPr>
              <w:t>。</w:t>
            </w:r>
          </w:p>
          <w:p w14:paraId="7CB39EA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质谱仪检测结果或者初鉴报告</w:t>
            </w:r>
            <w:r>
              <w:rPr>
                <w:rFonts w:hint="eastAsia" w:ascii="宋体" w:hAnsi="宋体" w:eastAsia="宋体" w:cs="宋体"/>
                <w:color w:val="auto"/>
                <w:kern w:val="0"/>
                <w:sz w:val="24"/>
                <w:szCs w:val="24"/>
                <w:highlight w:val="none"/>
                <w:lang w:eastAsia="zh-CN"/>
              </w:rPr>
              <w:t>。</w:t>
            </w:r>
          </w:p>
          <w:p w14:paraId="1A56E94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阳性报告人工审核最终报告</w:t>
            </w:r>
            <w:r>
              <w:rPr>
                <w:rFonts w:hint="eastAsia" w:ascii="宋体" w:hAnsi="宋体" w:eastAsia="宋体" w:cs="宋体"/>
                <w:color w:val="auto"/>
                <w:kern w:val="0"/>
                <w:sz w:val="24"/>
                <w:szCs w:val="24"/>
                <w:highlight w:val="none"/>
                <w:lang w:eastAsia="zh-CN"/>
              </w:rPr>
              <w:t>。</w:t>
            </w:r>
          </w:p>
        </w:tc>
      </w:tr>
      <w:tr w14:paraId="07E6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1" w:type="dxa"/>
            <w:vMerge w:val="continue"/>
            <w:vAlign w:val="center"/>
          </w:tcPr>
          <w:p w14:paraId="6754ACAD">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042B4043">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43F07450">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菌种保存</w:t>
            </w:r>
          </w:p>
          <w:p w14:paraId="656B22E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保存方案：根据预设规则自动分配菌种保存方案。</w:t>
            </w:r>
          </w:p>
          <w:p w14:paraId="1D17FF5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虚拟菌种保存盒：虚拟菌种保存盒，可以查询冰箱内留存菌种信息。</w:t>
            </w:r>
          </w:p>
          <w:p w14:paraId="254ED47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菌种使用记录。</w:t>
            </w:r>
          </w:p>
          <w:p w14:paraId="7077BCD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菌种销毁记录。</w:t>
            </w:r>
          </w:p>
        </w:tc>
      </w:tr>
      <w:tr w14:paraId="3B2C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61F92F91">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794ED51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297D4D25">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质控管理</w:t>
            </w:r>
          </w:p>
          <w:p w14:paraId="1C48EF7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手工药敏质控：录入结果后自动绘制质控图、质控打印等。</w:t>
            </w:r>
          </w:p>
          <w:p w14:paraId="4D79C0E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MIC质控：录入结果后自动绘制质控图、质控打印等。</w:t>
            </w:r>
          </w:p>
          <w:p w14:paraId="364F763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手工生化反应质控：触媒氧化酶等结果记录。</w:t>
            </w:r>
          </w:p>
          <w:p w14:paraId="70A0F42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仪器生化反应质控：解析仪器生化反应结果。</w:t>
            </w:r>
          </w:p>
        </w:tc>
      </w:tr>
      <w:tr w14:paraId="3ECE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Merge w:val="continue"/>
            <w:vAlign w:val="center"/>
          </w:tcPr>
          <w:p w14:paraId="5B82E364">
            <w:pPr>
              <w:pageBreakBefore w:val="0"/>
              <w:widowControl/>
              <w:numPr>
                <w:ilvl w:val="0"/>
                <w:numId w:val="2"/>
              </w:numPr>
              <w:kinsoku/>
              <w:wordWrap/>
              <w:overflowPunct/>
              <w:topLinePunct w:val="0"/>
              <w:autoSpaceDE/>
              <w:autoSpaceDN/>
              <w:bidi w:val="0"/>
              <w:adjustRightInd/>
              <w:snapToGrid/>
              <w:spacing w:beforeAutospacing="0" w:afterAutospacing="0" w:line="300" w:lineRule="auto"/>
              <w:ind w:left="0" w:leftChars="0" w:firstLineChars="0"/>
              <w:contextualSpacing/>
              <w:jc w:val="center"/>
              <w:textAlignment w:val="auto"/>
              <w:rPr>
                <w:rFonts w:hint="eastAsia" w:ascii="宋体" w:hAnsi="宋体" w:eastAsia="宋体" w:cs="宋体"/>
                <w:color w:val="auto"/>
                <w:kern w:val="0"/>
                <w:sz w:val="18"/>
                <w:szCs w:val="18"/>
                <w:highlight w:val="none"/>
                <w:lang w:val="en-US" w:eastAsia="zh-CN" w:bidi="ar-SA"/>
              </w:rPr>
            </w:pPr>
          </w:p>
        </w:tc>
        <w:tc>
          <w:tcPr>
            <w:tcW w:w="1410" w:type="dxa"/>
            <w:vMerge w:val="continue"/>
            <w:vAlign w:val="center"/>
          </w:tcPr>
          <w:p w14:paraId="587A2664">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18"/>
                <w:szCs w:val="18"/>
                <w:highlight w:val="none"/>
              </w:rPr>
            </w:pPr>
          </w:p>
        </w:tc>
        <w:tc>
          <w:tcPr>
            <w:tcW w:w="7404" w:type="dxa"/>
            <w:vAlign w:val="center"/>
          </w:tcPr>
          <w:p w14:paraId="0B12253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统计与分析</w:t>
            </w:r>
          </w:p>
          <w:p w14:paraId="5C35A27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工作量统计。</w:t>
            </w:r>
          </w:p>
          <w:p w14:paraId="208AAEB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细菌阳性率统计</w:t>
            </w:r>
            <w:r>
              <w:rPr>
                <w:rFonts w:hint="eastAsia" w:ascii="宋体" w:hAnsi="宋体" w:eastAsia="宋体" w:cs="宋体"/>
                <w:color w:val="auto"/>
                <w:kern w:val="0"/>
                <w:sz w:val="24"/>
                <w:szCs w:val="24"/>
                <w:highlight w:val="none"/>
                <w:lang w:eastAsia="zh-CN"/>
              </w:rPr>
              <w:t>。</w:t>
            </w:r>
          </w:p>
          <w:p w14:paraId="4A21086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细菌分布统计</w:t>
            </w:r>
            <w:r>
              <w:rPr>
                <w:rFonts w:hint="eastAsia" w:ascii="宋体" w:hAnsi="宋体" w:eastAsia="宋体" w:cs="宋体"/>
                <w:color w:val="auto"/>
                <w:kern w:val="0"/>
                <w:sz w:val="24"/>
                <w:szCs w:val="24"/>
                <w:highlight w:val="none"/>
                <w:lang w:eastAsia="zh-CN"/>
              </w:rPr>
              <w:t>。</w:t>
            </w:r>
          </w:p>
          <w:p w14:paraId="700EEB2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细菌抗生素敏感度统计</w:t>
            </w:r>
            <w:r>
              <w:rPr>
                <w:rFonts w:hint="eastAsia" w:ascii="宋体" w:hAnsi="宋体" w:eastAsia="宋体" w:cs="宋体"/>
                <w:color w:val="auto"/>
                <w:kern w:val="0"/>
                <w:sz w:val="24"/>
                <w:szCs w:val="24"/>
                <w:highlight w:val="none"/>
                <w:lang w:eastAsia="zh-CN"/>
              </w:rPr>
              <w:t>。</w:t>
            </w:r>
          </w:p>
          <w:p w14:paraId="46DD446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常见10种细菌耐药统计</w:t>
            </w:r>
            <w:r>
              <w:rPr>
                <w:rFonts w:hint="eastAsia" w:ascii="宋体" w:hAnsi="宋体" w:eastAsia="宋体" w:cs="宋体"/>
                <w:color w:val="auto"/>
                <w:kern w:val="0"/>
                <w:sz w:val="24"/>
                <w:szCs w:val="24"/>
                <w:highlight w:val="none"/>
                <w:lang w:eastAsia="zh-CN"/>
              </w:rPr>
              <w:t>。</w:t>
            </w:r>
          </w:p>
          <w:p w14:paraId="27141DE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细菌抗生素耐药统计</w:t>
            </w:r>
            <w:r>
              <w:rPr>
                <w:rFonts w:hint="eastAsia" w:ascii="宋体" w:hAnsi="宋体" w:eastAsia="宋体" w:cs="宋体"/>
                <w:color w:val="auto"/>
                <w:kern w:val="0"/>
                <w:sz w:val="24"/>
                <w:szCs w:val="24"/>
                <w:highlight w:val="none"/>
                <w:lang w:eastAsia="zh-CN"/>
              </w:rPr>
              <w:t>。</w:t>
            </w:r>
          </w:p>
          <w:p w14:paraId="10C24ED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细菌抗生素耐药图表</w:t>
            </w:r>
            <w:r>
              <w:rPr>
                <w:rFonts w:hint="eastAsia" w:ascii="宋体" w:hAnsi="宋体" w:eastAsia="宋体" w:cs="宋体"/>
                <w:color w:val="auto"/>
                <w:kern w:val="0"/>
                <w:sz w:val="24"/>
                <w:szCs w:val="24"/>
                <w:highlight w:val="none"/>
                <w:lang w:eastAsia="zh-CN"/>
              </w:rPr>
              <w:t>。</w:t>
            </w:r>
          </w:p>
          <w:p w14:paraId="40304D2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常见菌属分布趋势图</w:t>
            </w:r>
            <w:r>
              <w:rPr>
                <w:rFonts w:hint="eastAsia" w:ascii="宋体" w:hAnsi="宋体" w:eastAsia="宋体" w:cs="宋体"/>
                <w:color w:val="auto"/>
                <w:kern w:val="0"/>
                <w:sz w:val="24"/>
                <w:szCs w:val="24"/>
                <w:highlight w:val="none"/>
                <w:lang w:eastAsia="zh-CN"/>
              </w:rPr>
              <w:t>。</w:t>
            </w:r>
          </w:p>
          <w:p w14:paraId="0CA91F7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常见菌属构成图</w:t>
            </w:r>
            <w:r>
              <w:rPr>
                <w:rFonts w:hint="eastAsia" w:ascii="宋体" w:hAnsi="宋体" w:eastAsia="宋体" w:cs="宋体"/>
                <w:color w:val="auto"/>
                <w:kern w:val="0"/>
                <w:sz w:val="24"/>
                <w:szCs w:val="24"/>
                <w:highlight w:val="none"/>
                <w:lang w:eastAsia="zh-CN"/>
              </w:rPr>
              <w:t>。</w:t>
            </w:r>
          </w:p>
          <w:p w14:paraId="286AB33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细菌科室分布统计</w:t>
            </w:r>
            <w:r>
              <w:rPr>
                <w:rFonts w:hint="eastAsia" w:ascii="宋体" w:hAnsi="宋体" w:eastAsia="宋体" w:cs="宋体"/>
                <w:color w:val="auto"/>
                <w:kern w:val="0"/>
                <w:sz w:val="24"/>
                <w:szCs w:val="24"/>
                <w:highlight w:val="none"/>
                <w:lang w:eastAsia="zh-CN"/>
              </w:rPr>
              <w:t>。</w:t>
            </w:r>
          </w:p>
          <w:p w14:paraId="216915C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细菌标本分布统计</w:t>
            </w:r>
            <w:r>
              <w:rPr>
                <w:rFonts w:hint="eastAsia" w:ascii="宋体" w:hAnsi="宋体" w:eastAsia="宋体" w:cs="宋体"/>
                <w:color w:val="auto"/>
                <w:kern w:val="0"/>
                <w:sz w:val="24"/>
                <w:szCs w:val="24"/>
                <w:highlight w:val="none"/>
                <w:lang w:eastAsia="zh-CN"/>
              </w:rPr>
              <w:t>。</w:t>
            </w:r>
          </w:p>
          <w:p w14:paraId="7B2C70F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支持导入WHONET</w:t>
            </w:r>
            <w:r>
              <w:rPr>
                <w:rFonts w:hint="eastAsia" w:ascii="宋体" w:hAnsi="宋体" w:eastAsia="宋体" w:cs="宋体"/>
                <w:color w:val="auto"/>
                <w:kern w:val="0"/>
                <w:sz w:val="24"/>
                <w:szCs w:val="24"/>
                <w:highlight w:val="none"/>
                <w:lang w:eastAsia="zh-CN"/>
              </w:rPr>
              <w:t>。</w:t>
            </w:r>
          </w:p>
          <w:p w14:paraId="3ED9255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支持通过接口上传中间件直接上报国家耐药监测网</w:t>
            </w:r>
            <w:r>
              <w:rPr>
                <w:rFonts w:hint="eastAsia" w:ascii="宋体" w:hAnsi="宋体" w:eastAsia="宋体" w:cs="宋体"/>
                <w:color w:val="auto"/>
                <w:kern w:val="0"/>
                <w:sz w:val="24"/>
                <w:szCs w:val="24"/>
                <w:highlight w:val="none"/>
                <w:lang w:eastAsia="zh-CN"/>
              </w:rPr>
              <w:t>。</w:t>
            </w:r>
          </w:p>
        </w:tc>
      </w:tr>
      <w:tr w14:paraId="5547E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7E6C0D46">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25</w:t>
            </w:r>
          </w:p>
        </w:tc>
        <w:tc>
          <w:tcPr>
            <w:tcW w:w="1410" w:type="dxa"/>
            <w:vAlign w:val="center"/>
          </w:tcPr>
          <w:p w14:paraId="70C1160C">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院感、环境检测管理</w:t>
            </w:r>
          </w:p>
        </w:tc>
        <w:tc>
          <w:tcPr>
            <w:tcW w:w="7404" w:type="dxa"/>
            <w:vAlign w:val="center"/>
          </w:tcPr>
          <w:p w14:paraId="39198551">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院感申请项目维护</w:t>
            </w:r>
          </w:p>
          <w:p w14:paraId="61DAC46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申请项目名称、标本类型维护</w:t>
            </w:r>
            <w:r>
              <w:rPr>
                <w:rFonts w:hint="eastAsia" w:ascii="宋体" w:hAnsi="宋体" w:eastAsia="宋体" w:cs="宋体"/>
                <w:color w:val="auto"/>
                <w:kern w:val="0"/>
                <w:sz w:val="24"/>
                <w:szCs w:val="24"/>
                <w:highlight w:val="none"/>
                <w:lang w:eastAsia="zh-CN"/>
              </w:rPr>
              <w:t>。</w:t>
            </w:r>
          </w:p>
          <w:p w14:paraId="3B2631F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申请项目采样时间、采样方法维护</w:t>
            </w:r>
            <w:r>
              <w:rPr>
                <w:rFonts w:hint="eastAsia" w:ascii="宋体" w:hAnsi="宋体" w:eastAsia="宋体" w:cs="宋体"/>
                <w:color w:val="auto"/>
                <w:kern w:val="0"/>
                <w:sz w:val="24"/>
                <w:szCs w:val="24"/>
                <w:highlight w:val="none"/>
                <w:lang w:eastAsia="zh-CN"/>
              </w:rPr>
              <w:t>。</w:t>
            </w:r>
          </w:p>
          <w:p w14:paraId="4F7E5907">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院感申请模板维护</w:t>
            </w:r>
          </w:p>
          <w:p w14:paraId="3A11AD6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选择项目位置维护模板</w:t>
            </w:r>
            <w:r>
              <w:rPr>
                <w:rFonts w:hint="eastAsia" w:ascii="宋体" w:hAnsi="宋体" w:eastAsia="宋体" w:cs="宋体"/>
                <w:color w:val="auto"/>
                <w:kern w:val="0"/>
                <w:sz w:val="24"/>
                <w:szCs w:val="24"/>
                <w:highlight w:val="none"/>
                <w:lang w:eastAsia="zh-CN"/>
              </w:rPr>
              <w:t>。</w:t>
            </w:r>
          </w:p>
          <w:p w14:paraId="330C86E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支持计划周期维护</w:t>
            </w:r>
            <w:r>
              <w:rPr>
                <w:rFonts w:hint="eastAsia" w:ascii="宋体" w:hAnsi="宋体" w:eastAsia="宋体" w:cs="宋体"/>
                <w:color w:val="auto"/>
                <w:kern w:val="0"/>
                <w:sz w:val="24"/>
                <w:szCs w:val="24"/>
                <w:highlight w:val="none"/>
                <w:lang w:eastAsia="zh-CN"/>
              </w:rPr>
              <w:t>。</w:t>
            </w:r>
          </w:p>
          <w:p w14:paraId="3F5E64FA">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院感申请、条码打印</w:t>
            </w:r>
          </w:p>
          <w:p w14:paraId="152E721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支持模板申请</w:t>
            </w:r>
            <w:r>
              <w:rPr>
                <w:rFonts w:hint="eastAsia" w:ascii="宋体" w:hAnsi="宋体" w:eastAsia="宋体" w:cs="宋体"/>
                <w:color w:val="auto"/>
                <w:kern w:val="0"/>
                <w:sz w:val="24"/>
                <w:szCs w:val="24"/>
                <w:highlight w:val="none"/>
                <w:lang w:eastAsia="zh-CN"/>
              </w:rPr>
              <w:t>。</w:t>
            </w:r>
          </w:p>
          <w:p w14:paraId="07DC09E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支持按照模板维护计划周期自动生成申请</w:t>
            </w:r>
            <w:r>
              <w:rPr>
                <w:rFonts w:hint="eastAsia" w:ascii="宋体" w:hAnsi="宋体" w:eastAsia="宋体" w:cs="宋体"/>
                <w:color w:val="auto"/>
                <w:kern w:val="0"/>
                <w:sz w:val="24"/>
                <w:szCs w:val="24"/>
                <w:highlight w:val="none"/>
                <w:lang w:eastAsia="zh-CN"/>
              </w:rPr>
              <w:t>。</w:t>
            </w:r>
          </w:p>
          <w:p w14:paraId="4882C0E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支持临时申请</w:t>
            </w:r>
            <w:r>
              <w:rPr>
                <w:rFonts w:hint="eastAsia" w:ascii="宋体" w:hAnsi="宋体" w:eastAsia="宋体" w:cs="宋体"/>
                <w:color w:val="auto"/>
                <w:kern w:val="0"/>
                <w:sz w:val="24"/>
                <w:szCs w:val="24"/>
                <w:highlight w:val="none"/>
                <w:lang w:eastAsia="zh-CN"/>
              </w:rPr>
              <w:t>。</w:t>
            </w:r>
          </w:p>
          <w:p w14:paraId="5E2F63E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支持条码打印</w:t>
            </w:r>
            <w:r>
              <w:rPr>
                <w:rFonts w:hint="eastAsia" w:ascii="宋体" w:hAnsi="宋体" w:eastAsia="宋体" w:cs="宋体"/>
                <w:color w:val="auto"/>
                <w:kern w:val="0"/>
                <w:sz w:val="24"/>
                <w:szCs w:val="24"/>
                <w:highlight w:val="none"/>
                <w:lang w:eastAsia="zh-CN"/>
              </w:rPr>
              <w:t>。</w:t>
            </w:r>
          </w:p>
          <w:p w14:paraId="2DF13802">
            <w:pPr>
              <w:pageBreakBefore w:val="0"/>
              <w:kinsoku/>
              <w:wordWrap/>
              <w:overflowPunct/>
              <w:topLinePunct w:val="0"/>
              <w:autoSpaceDE/>
              <w:autoSpaceDN/>
              <w:bidi w:val="0"/>
              <w:adjustRightInd/>
              <w:snapToGrid/>
              <w:spacing w:beforeAutospacing="0" w:afterAutospacing="0" w:line="300" w:lineRule="auto"/>
              <w:ind w:left="0" w:leftChars="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院感报告打印</w:t>
            </w:r>
          </w:p>
          <w:p w14:paraId="5A9778A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支持院感结果查看</w:t>
            </w:r>
            <w:r>
              <w:rPr>
                <w:rFonts w:hint="eastAsia" w:ascii="宋体" w:hAnsi="宋体" w:eastAsia="宋体" w:cs="宋体"/>
                <w:color w:val="auto"/>
                <w:kern w:val="0"/>
                <w:sz w:val="24"/>
                <w:szCs w:val="24"/>
                <w:highlight w:val="none"/>
                <w:lang w:eastAsia="zh-CN"/>
              </w:rPr>
              <w:t>。</w:t>
            </w:r>
          </w:p>
          <w:p w14:paraId="4166A3C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支持院感报告打印</w:t>
            </w:r>
            <w:r>
              <w:rPr>
                <w:rFonts w:hint="eastAsia" w:ascii="宋体" w:hAnsi="宋体" w:eastAsia="宋体" w:cs="宋体"/>
                <w:color w:val="auto"/>
                <w:kern w:val="0"/>
                <w:sz w:val="24"/>
                <w:szCs w:val="24"/>
                <w:highlight w:val="none"/>
                <w:lang w:eastAsia="zh-CN"/>
              </w:rPr>
              <w:t>。</w:t>
            </w:r>
          </w:p>
        </w:tc>
      </w:tr>
      <w:tr w14:paraId="16D8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1" w:type="dxa"/>
            <w:vAlign w:val="center"/>
          </w:tcPr>
          <w:p w14:paraId="0B12E184">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26</w:t>
            </w:r>
          </w:p>
        </w:tc>
        <w:tc>
          <w:tcPr>
            <w:tcW w:w="1410" w:type="dxa"/>
            <w:vAlign w:val="center"/>
          </w:tcPr>
          <w:p w14:paraId="63446D9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检验专业质量指标管理</w:t>
            </w:r>
          </w:p>
        </w:tc>
        <w:tc>
          <w:tcPr>
            <w:tcW w:w="7404" w:type="dxa"/>
            <w:vAlign w:val="center"/>
          </w:tcPr>
          <w:p w14:paraId="798DDE6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国家卫计委颁布的临床检验专业质量指标管理。通过LIS主体业务管理中的不合格标本登记、标本流转TAT管理、检验报告管理、危急值管理、无纸化微生物等实验室辅助管理模块的优化和深度应用，实现对检验前、中、后质量的全面管理。并运用强大的智慧数据分析工具设计相应的分析实例实现对标本可接受性指标、标本检验前周转TAT指标、检验标本实验室内周转时间TAT指标、检验报告指标、危急值指标、血培养污染物、微生物标本污染实现临床检验专业质量指标一键统计。</w:t>
            </w:r>
          </w:p>
        </w:tc>
      </w:tr>
      <w:tr w14:paraId="5A8A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1" w:type="dxa"/>
            <w:vAlign w:val="center"/>
          </w:tcPr>
          <w:p w14:paraId="1D4E8078">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27</w:t>
            </w:r>
          </w:p>
        </w:tc>
        <w:tc>
          <w:tcPr>
            <w:tcW w:w="1410" w:type="dxa"/>
            <w:vAlign w:val="center"/>
          </w:tcPr>
          <w:p w14:paraId="7F1C034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ISO15189标准化管理</w:t>
            </w:r>
          </w:p>
        </w:tc>
        <w:tc>
          <w:tcPr>
            <w:tcW w:w="7404" w:type="dxa"/>
            <w:vAlign w:val="center"/>
          </w:tcPr>
          <w:p w14:paraId="404F7D7A">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ISO15189标准化管理通过对CNAS-CL02:2023《医学实验室质量和能力认可准则》的全方位解读和全面电子化，实现认可文档全流程信息化管理。</w:t>
            </w:r>
          </w:p>
          <w:p w14:paraId="45FE471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条款解读：系统内置CNAS-CL02：2023《医学实验室质量和能力认可准则》最新版条款内容和条款解读</w:t>
            </w:r>
            <w:r>
              <w:rPr>
                <w:rFonts w:hint="eastAsia" w:ascii="宋体" w:hAnsi="宋体" w:eastAsia="宋体" w:cs="宋体"/>
                <w:color w:val="auto"/>
                <w:kern w:val="0"/>
                <w:sz w:val="24"/>
                <w:szCs w:val="24"/>
                <w:highlight w:val="none"/>
                <w:lang w:eastAsia="zh-CN"/>
              </w:rPr>
              <w:t>。</w:t>
            </w:r>
          </w:p>
          <w:p w14:paraId="529A5D8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文件关联：支持按照最新版15189认可准则关联文档系统中质量手册和程序文件</w:t>
            </w:r>
            <w:r>
              <w:rPr>
                <w:rFonts w:hint="eastAsia" w:ascii="宋体" w:hAnsi="宋体" w:eastAsia="宋体" w:cs="宋体"/>
                <w:color w:val="auto"/>
                <w:kern w:val="0"/>
                <w:sz w:val="24"/>
                <w:szCs w:val="24"/>
                <w:highlight w:val="none"/>
                <w:lang w:eastAsia="zh-CN"/>
              </w:rPr>
              <w:t>。</w:t>
            </w:r>
          </w:p>
          <w:p w14:paraId="3719B28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电子表格：按照最新版15189认可准则条款可以自定义表格编号、表格名称、表格类型（智能提取、设备计划、标本填写、定制填写、文件上传等），填写周期、填写类型、受控号规则等内容，根据自定义表格自动生成表格列表</w:t>
            </w:r>
            <w:r>
              <w:rPr>
                <w:rFonts w:hint="eastAsia" w:ascii="宋体" w:hAnsi="宋体" w:eastAsia="宋体" w:cs="宋体"/>
                <w:color w:val="auto"/>
                <w:kern w:val="0"/>
                <w:sz w:val="24"/>
                <w:szCs w:val="24"/>
                <w:highlight w:val="none"/>
                <w:lang w:eastAsia="zh-CN"/>
              </w:rPr>
              <w:t>。</w:t>
            </w:r>
          </w:p>
          <w:p w14:paraId="7647A57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电子记录：根据表格列表和类型支持从LIS提取、直接表格填写、建立维护计划填写，外部记录上传形成完整的电子记录</w:t>
            </w:r>
            <w:r>
              <w:rPr>
                <w:rFonts w:hint="eastAsia" w:ascii="宋体" w:hAnsi="宋体" w:eastAsia="宋体" w:cs="宋体"/>
                <w:color w:val="auto"/>
                <w:kern w:val="0"/>
                <w:sz w:val="24"/>
                <w:szCs w:val="24"/>
                <w:highlight w:val="none"/>
                <w:lang w:eastAsia="zh-CN"/>
              </w:rPr>
              <w:t>。</w:t>
            </w:r>
          </w:p>
          <w:p w14:paraId="3634EE2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电子归档打印：根据表格列表自定义设计符合本院要的报告格式，可以进行表格归档和打印</w:t>
            </w:r>
            <w:r>
              <w:rPr>
                <w:rFonts w:hint="eastAsia" w:ascii="宋体" w:hAnsi="宋体" w:eastAsia="宋体" w:cs="宋体"/>
                <w:color w:val="auto"/>
                <w:kern w:val="0"/>
                <w:sz w:val="24"/>
                <w:szCs w:val="24"/>
                <w:highlight w:val="none"/>
                <w:lang w:eastAsia="zh-CN"/>
              </w:rPr>
              <w:t>。</w:t>
            </w:r>
          </w:p>
          <w:p w14:paraId="218FCCF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风险管理：对实验室风险的识别、分析、评价和采取的措施进行电子化管理。</w:t>
            </w:r>
          </w:p>
          <w:p w14:paraId="5178BF15">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需提供方案和软件截图,提供系统环境备查）</w:t>
            </w:r>
          </w:p>
        </w:tc>
      </w:tr>
      <w:tr w14:paraId="5C71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11" w:type="dxa"/>
            <w:vAlign w:val="center"/>
          </w:tcPr>
          <w:p w14:paraId="1072EAD3">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28</w:t>
            </w:r>
          </w:p>
        </w:tc>
        <w:tc>
          <w:tcPr>
            <w:tcW w:w="1410" w:type="dxa"/>
            <w:vAlign w:val="center"/>
          </w:tcPr>
          <w:p w14:paraId="761B314D">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耗材管理</w:t>
            </w:r>
          </w:p>
        </w:tc>
        <w:tc>
          <w:tcPr>
            <w:tcW w:w="7404" w:type="dxa"/>
            <w:vAlign w:val="center"/>
          </w:tcPr>
          <w:p w14:paraId="69BE50C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有耗材管理岗位首页，包括待审核采购申请数量，采购单数量，领用申请数量，退回采购申请数量，退回采购单数量，退回领用申请数量、商品近效期/已过期数量，低于常备库存/低于最小库存数量，本组本周/本人今天的出入库情况，近12个月采购入库趋势，采购商品未到货提醒等。</w:t>
            </w:r>
          </w:p>
          <w:p w14:paraId="20E23E7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支持耗材条码全流程管理</w:t>
            </w:r>
            <w:r>
              <w:rPr>
                <w:rFonts w:hint="eastAsia" w:ascii="宋体" w:hAnsi="宋体" w:eastAsia="宋体" w:cs="宋体"/>
                <w:color w:val="auto"/>
                <w:kern w:val="0"/>
                <w:sz w:val="24"/>
                <w:szCs w:val="24"/>
                <w:highlight w:val="none"/>
                <w:lang w:eastAsia="zh-CN"/>
              </w:rPr>
              <w:t>。</w:t>
            </w:r>
          </w:p>
          <w:p w14:paraId="635A6B4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支持试剂耗材多级库存管理</w:t>
            </w:r>
            <w:r>
              <w:rPr>
                <w:rFonts w:hint="eastAsia" w:ascii="宋体" w:hAnsi="宋体" w:eastAsia="宋体" w:cs="宋体"/>
                <w:color w:val="auto"/>
                <w:kern w:val="0"/>
                <w:sz w:val="24"/>
                <w:szCs w:val="24"/>
                <w:highlight w:val="none"/>
                <w:lang w:eastAsia="zh-CN"/>
              </w:rPr>
              <w:t>。</w:t>
            </w:r>
          </w:p>
          <w:p w14:paraId="2215429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支持从采购申请、采购申请审批、采购单、采购单审批、采购入库、移库、领用申请、领用出库、试剂开瓶全过程管理</w:t>
            </w:r>
            <w:r>
              <w:rPr>
                <w:rFonts w:hint="eastAsia" w:ascii="宋体" w:hAnsi="宋体" w:eastAsia="宋体" w:cs="宋体"/>
                <w:color w:val="auto"/>
                <w:kern w:val="0"/>
                <w:sz w:val="24"/>
                <w:szCs w:val="24"/>
                <w:highlight w:val="none"/>
                <w:lang w:eastAsia="zh-CN"/>
              </w:rPr>
              <w:t>。</w:t>
            </w:r>
          </w:p>
          <w:p w14:paraId="353512A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支持无人值守出入库管理，支持人脸识别开门和人脸识别出库、移库，减轻库管的压力，提升工作效率</w:t>
            </w:r>
            <w:r>
              <w:rPr>
                <w:rFonts w:hint="eastAsia" w:ascii="宋体" w:hAnsi="宋体" w:eastAsia="宋体" w:cs="宋体"/>
                <w:color w:val="auto"/>
                <w:kern w:val="0"/>
                <w:sz w:val="24"/>
                <w:szCs w:val="24"/>
                <w:highlight w:val="none"/>
                <w:lang w:eastAsia="zh-CN"/>
              </w:rPr>
              <w:t>。</w:t>
            </w:r>
          </w:p>
          <w:p w14:paraId="560BB43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支持多种入库方式，外部单号录入，采购单号录入，Excel导入，手工录入，组套录入，扫描二维码录入等，对入库商品支持客户评价自定义功能，比如包装是否完整，是否具备商品标识，商品合格证是否合格等</w:t>
            </w:r>
            <w:r>
              <w:rPr>
                <w:rFonts w:hint="eastAsia" w:ascii="宋体" w:hAnsi="宋体" w:eastAsia="宋体" w:cs="宋体"/>
                <w:color w:val="auto"/>
                <w:kern w:val="0"/>
                <w:sz w:val="24"/>
                <w:szCs w:val="24"/>
                <w:highlight w:val="none"/>
                <w:lang w:eastAsia="zh-CN"/>
              </w:rPr>
              <w:t>。</w:t>
            </w:r>
          </w:p>
          <w:p w14:paraId="1B84777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支持证书管理，包括耗材试剂证书和供应商证书，支持上传证书</w:t>
            </w:r>
            <w:r>
              <w:rPr>
                <w:rFonts w:hint="eastAsia" w:ascii="宋体" w:hAnsi="宋体" w:eastAsia="宋体" w:cs="宋体"/>
                <w:color w:val="auto"/>
                <w:kern w:val="0"/>
                <w:sz w:val="24"/>
                <w:szCs w:val="24"/>
                <w:highlight w:val="none"/>
                <w:lang w:eastAsia="zh-CN"/>
              </w:rPr>
              <w:t>。</w:t>
            </w:r>
          </w:p>
          <w:p w14:paraId="391315C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支持供应商评价功能，从服务、质量、口碑等维度对供应商进行评价</w:t>
            </w:r>
            <w:r>
              <w:rPr>
                <w:rFonts w:hint="eastAsia" w:ascii="宋体" w:hAnsi="宋体" w:eastAsia="宋体" w:cs="宋体"/>
                <w:color w:val="auto"/>
                <w:kern w:val="0"/>
                <w:sz w:val="24"/>
                <w:szCs w:val="24"/>
                <w:highlight w:val="none"/>
                <w:lang w:eastAsia="zh-CN"/>
              </w:rPr>
              <w:t>。</w:t>
            </w:r>
          </w:p>
          <w:p w14:paraId="3366A60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支持采购入库发票登记管理，准确而及时地将发票入账，不仅能确保财务数据的准确性，还能避免潜在的法律和财务风险</w:t>
            </w:r>
            <w:r>
              <w:rPr>
                <w:rFonts w:hint="eastAsia" w:ascii="宋体" w:hAnsi="宋体" w:eastAsia="宋体" w:cs="宋体"/>
                <w:color w:val="auto"/>
                <w:kern w:val="0"/>
                <w:sz w:val="24"/>
                <w:szCs w:val="24"/>
                <w:highlight w:val="none"/>
                <w:lang w:eastAsia="zh-CN"/>
              </w:rPr>
              <w:t>。</w:t>
            </w:r>
          </w:p>
          <w:p w14:paraId="7F4669C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支持试剂更换批号时，性能验证功能，对试剂在一台或多台仪器上的测试性能进行验证，确保检验服务的质量和准确性。</w:t>
            </w:r>
          </w:p>
          <w:p w14:paraId="2847903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支持理论消耗与实际消耗对比，收入和试剂成本占比，仪器试剂耗占比查询，可以有效评估当前成本与效益，为合理控制和降低成本费用提供依据。</w:t>
            </w:r>
          </w:p>
          <w:p w14:paraId="12B8A73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支持智能请购功能，可自动根据常备库存和最低库存或时间内的平均出库量计算需采购量。</w:t>
            </w:r>
          </w:p>
          <w:p w14:paraId="608DEF4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支持智能库存管理，实时提供智能在库物品的数量超出上限、低于下限的预警，以及过效期，近效期的预警功能，方便实时了解库存物品的状况，并为购置计划提供决策依据。</w:t>
            </w:r>
          </w:p>
          <w:p w14:paraId="0140D48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支持多种统计方式，包括按库存流水的统计，按期间出入库的统计，环比统计，同比统计等，统计后的报表支持导出。</w:t>
            </w:r>
          </w:p>
          <w:p w14:paraId="46E5D9B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支持库存盘点，可以确保耗材的现存数量，并纠正账物不一致的现象。</w:t>
            </w:r>
          </w:p>
          <w:p w14:paraId="33F12AE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支持集采试剂任务量登记，集采试剂任务量完成情况查询。</w:t>
            </w:r>
          </w:p>
          <w:p w14:paraId="290B0AA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支持异常库存查询，可以帮助发现一些不正常的出库商品，及时对这些商品进行出库，防止商品过期。</w:t>
            </w:r>
          </w:p>
          <w:p w14:paraId="7B8A570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领用申请支持按模板设置领用申请单，领用申请模板可根据用户角色进行授权，用户选择模板后填写申请数量即可。</w:t>
            </w:r>
          </w:p>
          <w:p w14:paraId="5E6FF07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系统内支持所有物品库存的实时查询，可通过物品名字或关键字筛选查询，并导出查询结果。</w:t>
            </w:r>
          </w:p>
          <w:p w14:paraId="4DA604C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支持借用物品管理和物品归还管理，有效解决突发事件、以及合理的库存综合利用。</w:t>
            </w:r>
          </w:p>
          <w:p w14:paraId="5D5C36E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支持物品报损管理，填写报损原因，报损方式，可以随时查询报损物品的处置情况。</w:t>
            </w:r>
          </w:p>
          <w:p w14:paraId="1A8BB10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智能无人值守库房</w:t>
            </w:r>
            <w:r>
              <w:rPr>
                <w:rFonts w:hint="eastAsia" w:ascii="宋体" w:hAnsi="宋体" w:eastAsia="宋体" w:cs="宋体"/>
                <w:color w:val="auto"/>
                <w:kern w:val="0"/>
                <w:sz w:val="24"/>
                <w:szCs w:val="24"/>
                <w:highlight w:val="none"/>
                <w:lang w:eastAsia="zh-CN"/>
              </w:rPr>
              <w:t>。</w:t>
            </w:r>
          </w:p>
          <w:p w14:paraId="49E3B72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支持人脸识别身份验证、自动开启（或关闭）库房门，自助扫码实现收货、移库、领用等日常操作的智慧化和无人值守管理。</w:t>
            </w:r>
          </w:p>
        </w:tc>
      </w:tr>
      <w:tr w14:paraId="3C74A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572D5C93">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29</w:t>
            </w:r>
          </w:p>
        </w:tc>
        <w:tc>
          <w:tcPr>
            <w:tcW w:w="1410" w:type="dxa"/>
            <w:vAlign w:val="center"/>
          </w:tcPr>
          <w:p w14:paraId="771666A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人员权限、考试管理</w:t>
            </w:r>
          </w:p>
        </w:tc>
        <w:tc>
          <w:tcPr>
            <w:tcW w:w="7404" w:type="dxa"/>
            <w:vAlign w:val="center"/>
          </w:tcPr>
          <w:p w14:paraId="54D04BE4">
            <w:pPr>
              <w:pageBreakBefore w:val="0"/>
              <w:widowControl w:val="0"/>
              <w:kinsoku/>
              <w:wordWrap/>
              <w:overflowPunct/>
              <w:topLinePunct w:val="0"/>
              <w:autoSpaceDE/>
              <w:autoSpaceDN/>
              <w:bidi w:val="0"/>
              <w:adjustRightInd/>
              <w:snapToGrid/>
              <w:spacing w:beforeAutospacing="0" w:after="0" w:afterAutospacing="0" w:line="300" w:lineRule="auto"/>
              <w:ind w:left="0" w:leftChars="0"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具有培训考试岗位首页，首页可以显示待考试数、待阅卷数、待评估数、我的考试数、通过数，可以分类显示题库总数，待阅卷列表、待评估列表。</w:t>
            </w:r>
          </w:p>
          <w:p w14:paraId="76A6A5C0">
            <w:pPr>
              <w:pageBreakBefore w:val="0"/>
              <w:widowControl w:val="0"/>
              <w:kinsoku/>
              <w:wordWrap/>
              <w:overflowPunct/>
              <w:topLinePunct w:val="0"/>
              <w:autoSpaceDE/>
              <w:autoSpaceDN/>
              <w:bidi w:val="0"/>
              <w:adjustRightInd/>
              <w:snapToGrid/>
              <w:spacing w:beforeAutospacing="0" w:after="0" w:afterAutospacing="0" w:line="300" w:lineRule="auto"/>
              <w:ind w:left="0" w:leftChars="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人员档案、权限管理</w:t>
            </w:r>
          </w:p>
          <w:p w14:paraId="7CCCCA1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电子人员档案：员工信息、健康档案、工作经历、评估记录、上岗资格证书、学习经历、对应角色、角色授予记录、专业轮转、班次申报、年假休假安排、学术课题、成果、著作、论文、专利、专业培训、继续教育、考核记录、奖惩差错记录等等</w:t>
            </w:r>
            <w:r>
              <w:rPr>
                <w:rFonts w:hint="eastAsia" w:ascii="宋体" w:hAnsi="宋体" w:eastAsia="宋体" w:cs="宋体"/>
                <w:color w:val="auto"/>
                <w:kern w:val="0"/>
                <w:sz w:val="24"/>
                <w:szCs w:val="24"/>
                <w:highlight w:val="none"/>
                <w:lang w:eastAsia="zh-CN"/>
              </w:rPr>
              <w:t>。</w:t>
            </w:r>
          </w:p>
          <w:p w14:paraId="464021D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移动手机端支持：支持手机端查看并修正个人信息，支持上传包括上岗资格证、课题、论文、培训记录等相关文件</w:t>
            </w:r>
            <w:r>
              <w:rPr>
                <w:rFonts w:hint="eastAsia" w:ascii="宋体" w:hAnsi="宋体" w:eastAsia="宋体" w:cs="宋体"/>
                <w:color w:val="auto"/>
                <w:kern w:val="0"/>
                <w:sz w:val="24"/>
                <w:szCs w:val="24"/>
                <w:highlight w:val="none"/>
                <w:lang w:eastAsia="zh-CN"/>
              </w:rPr>
              <w:t>。</w:t>
            </w:r>
          </w:p>
          <w:p w14:paraId="6AF4C51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权限与获取：员工的所有权限必须来源于培训与考核，系统应能够与考试系统进行联动，对于过期或者需要获取的权限可以直接申请考试，考试系统形成试卷，员工可进行电脑电子化考试，员工考试合格自动获得相关权限</w:t>
            </w:r>
            <w:r>
              <w:rPr>
                <w:rFonts w:hint="eastAsia" w:ascii="宋体" w:hAnsi="宋体" w:eastAsia="宋体" w:cs="宋体"/>
                <w:color w:val="auto"/>
                <w:kern w:val="0"/>
                <w:sz w:val="24"/>
                <w:szCs w:val="24"/>
                <w:highlight w:val="none"/>
                <w:lang w:eastAsia="zh-CN"/>
              </w:rPr>
              <w:t>。</w:t>
            </w:r>
          </w:p>
          <w:p w14:paraId="0B4F2764">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人员权限、考试</w:t>
            </w:r>
          </w:p>
          <w:p w14:paraId="3FFA537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题库：有题库功能，可添加试题至题库，并对试题进行难易程度、亚专业、题型等划分。</w:t>
            </w:r>
          </w:p>
          <w:p w14:paraId="486FEC8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试卷生成：可人工选题生成，也可选择相关维度随机在题库抽取题目生成。</w:t>
            </w:r>
          </w:p>
          <w:p w14:paraId="4E80C1C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试卷发布：多种发布形式。可根据需要由管理员批量发布至员工，或在员工岗位变更时自动发送至员工，也可由员工主动申请。</w:t>
            </w:r>
          </w:p>
          <w:p w14:paraId="0A73842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权限：考试和角色权限关联，考试合格自动授予相应的角色权限</w:t>
            </w:r>
          </w:p>
          <w:p w14:paraId="45C87F3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记录：所有考核自动记录至人员档案。</w:t>
            </w:r>
          </w:p>
        </w:tc>
      </w:tr>
      <w:tr w14:paraId="4D4F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4A241A68">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30</w:t>
            </w:r>
          </w:p>
        </w:tc>
        <w:tc>
          <w:tcPr>
            <w:tcW w:w="1410" w:type="dxa"/>
            <w:vAlign w:val="center"/>
          </w:tcPr>
          <w:p w14:paraId="6A848CA6">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排班管理</w:t>
            </w:r>
          </w:p>
        </w:tc>
        <w:tc>
          <w:tcPr>
            <w:tcW w:w="7404" w:type="dxa"/>
            <w:vAlign w:val="center"/>
          </w:tcPr>
          <w:p w14:paraId="4DC2642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依据ISO15189 5.1.7实验室管理层应授权专人从事特定工作，按照检验人员所属检验组进行岗位对应，班次维护及人员排班。</w:t>
            </w:r>
          </w:p>
          <w:p w14:paraId="5101F89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班次维护可以根据员工所属院区、检验组划分班次，排班班次提供颜色、记号、简称等多种展示方式。</w:t>
            </w:r>
          </w:p>
          <w:p w14:paraId="1D593D4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支持设置班次类型(早班、午班、晚班、大夜班等)，工时等，支持假期维护(年假、补休、调休)。</w:t>
            </w:r>
          </w:p>
          <w:p w14:paraId="2737994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支持批量智能排班、排班复制的功能，对于班次一致的人员可以进行快速排班，支持区间排班，选择多个人员、日期进行排班。</w:t>
            </w:r>
          </w:p>
          <w:p w14:paraId="082B86F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支持月排班和周排班方式两种模式。</w:t>
            </w:r>
          </w:p>
          <w:p w14:paraId="0D5AA2D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支持当日员工排班备注并标记，辅助记录员工排班工作中出现的特殊情况。</w:t>
            </w:r>
          </w:p>
          <w:p w14:paraId="5CFA91A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支持月度排班评价,记录当前检验组当月排班及休假情况。</w:t>
            </w:r>
          </w:p>
          <w:p w14:paraId="428F91A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支持排班操作全程日志记录。</w:t>
            </w:r>
          </w:p>
        </w:tc>
      </w:tr>
      <w:tr w14:paraId="0ED5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4742005F">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31</w:t>
            </w:r>
          </w:p>
        </w:tc>
        <w:tc>
          <w:tcPr>
            <w:tcW w:w="1410" w:type="dxa"/>
            <w:vAlign w:val="center"/>
          </w:tcPr>
          <w:p w14:paraId="7477F27E">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标本库管理</w:t>
            </w:r>
          </w:p>
        </w:tc>
        <w:tc>
          <w:tcPr>
            <w:tcW w:w="7404" w:type="dxa"/>
            <w:vAlign w:val="center"/>
          </w:tcPr>
          <w:p w14:paraId="7E69AC57">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用户可以自定义样本库类型包括可研样本库、检验样本库等</w:t>
            </w:r>
            <w:r>
              <w:rPr>
                <w:rFonts w:hint="eastAsia" w:ascii="宋体" w:hAnsi="宋体" w:eastAsia="宋体" w:cs="宋体"/>
                <w:color w:val="auto"/>
                <w:kern w:val="0"/>
                <w:sz w:val="24"/>
                <w:szCs w:val="24"/>
                <w:highlight w:val="none"/>
                <w:lang w:eastAsia="zh-CN"/>
              </w:rPr>
              <w:t>。</w:t>
            </w:r>
          </w:p>
          <w:p w14:paraId="21CD1E7F">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支持常规检验样本库管理，支持按仪器、日期批量入库，支持库位一览展示、支持入库、出库、遗弃全流程管理。</w:t>
            </w:r>
          </w:p>
          <w:p w14:paraId="5DE9ADBD">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菌种保存样本库管理，支持设置菌种保存方案，根据方案智能分配库位，支持打印库位（位置）条码，支持菌种转种、借出、归还、销毁全流程管理。支持多信息、多维度库位查询，支持一览展示库位详细信息。</w:t>
            </w:r>
          </w:p>
          <w:p w14:paraId="61AE9C9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支持科研样本库，录入基本信息、附加信息，支持与检验工作系统联动对科研病人进行留样提醒，支持样本借出、归还全流程管理，支持标本量管理。</w:t>
            </w:r>
          </w:p>
          <w:p w14:paraId="558CF26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用户自定义存储架行、列、位置</w:t>
            </w:r>
            <w:r>
              <w:rPr>
                <w:rFonts w:hint="eastAsia" w:ascii="宋体" w:hAnsi="宋体" w:eastAsia="宋体" w:cs="宋体"/>
                <w:color w:val="auto"/>
                <w:kern w:val="0"/>
                <w:sz w:val="24"/>
                <w:szCs w:val="24"/>
                <w:highlight w:val="none"/>
                <w:lang w:eastAsia="zh-CN"/>
              </w:rPr>
              <w:t>。</w:t>
            </w:r>
          </w:p>
          <w:p w14:paraId="30350EC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用户自定义样本库层级和架子类型，可以按照定义层级形象图形显示</w:t>
            </w:r>
            <w:r>
              <w:rPr>
                <w:rFonts w:hint="eastAsia" w:ascii="宋体" w:hAnsi="宋体" w:eastAsia="宋体" w:cs="宋体"/>
                <w:color w:val="auto"/>
                <w:kern w:val="0"/>
                <w:sz w:val="24"/>
                <w:szCs w:val="24"/>
                <w:highlight w:val="none"/>
                <w:lang w:eastAsia="zh-CN"/>
              </w:rPr>
              <w:t>。</w:t>
            </w:r>
          </w:p>
          <w:p w14:paraId="63F90E4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支持多种图表及报表查询统计功能，包括出库记录、入库记录、库位号、冻库或冰箱存储状态等</w:t>
            </w:r>
            <w:r>
              <w:rPr>
                <w:rFonts w:hint="eastAsia" w:ascii="宋体" w:hAnsi="宋体" w:eastAsia="宋体" w:cs="宋体"/>
                <w:color w:val="auto"/>
                <w:kern w:val="0"/>
                <w:sz w:val="24"/>
                <w:szCs w:val="24"/>
                <w:highlight w:val="none"/>
                <w:lang w:eastAsia="zh-CN"/>
              </w:rPr>
              <w:t>。</w:t>
            </w:r>
          </w:p>
          <w:p w14:paraId="5D988C1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支持标本追溯功能,对标本的走向进行追溯，可完整追溯样本生命周期</w:t>
            </w:r>
            <w:r>
              <w:rPr>
                <w:rFonts w:hint="eastAsia" w:ascii="宋体" w:hAnsi="宋体" w:eastAsia="宋体" w:cs="宋体"/>
                <w:color w:val="auto"/>
                <w:kern w:val="0"/>
                <w:sz w:val="24"/>
                <w:szCs w:val="24"/>
                <w:highlight w:val="none"/>
                <w:lang w:eastAsia="zh-CN"/>
              </w:rPr>
              <w:t>。</w:t>
            </w:r>
          </w:p>
          <w:p w14:paraId="05EEC26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与LIS互通，标本入库时可直接获取病人信息与标本信息，无需手工录入标本相关信息</w:t>
            </w:r>
            <w:r>
              <w:rPr>
                <w:rFonts w:hint="eastAsia" w:ascii="宋体" w:hAnsi="宋体" w:eastAsia="宋体" w:cs="宋体"/>
                <w:color w:val="auto"/>
                <w:kern w:val="0"/>
                <w:sz w:val="24"/>
                <w:szCs w:val="24"/>
                <w:highlight w:val="none"/>
                <w:lang w:eastAsia="zh-CN"/>
              </w:rPr>
              <w:t>。</w:t>
            </w:r>
          </w:p>
          <w:p w14:paraId="3DA961B4">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支持过期标本预警功能</w:t>
            </w:r>
            <w:r>
              <w:rPr>
                <w:rFonts w:hint="eastAsia" w:ascii="宋体" w:hAnsi="宋体" w:eastAsia="宋体" w:cs="宋体"/>
                <w:color w:val="auto"/>
                <w:kern w:val="0"/>
                <w:sz w:val="24"/>
                <w:szCs w:val="24"/>
                <w:highlight w:val="none"/>
                <w:lang w:eastAsia="zh-CN"/>
              </w:rPr>
              <w:t>。</w:t>
            </w:r>
          </w:p>
          <w:p w14:paraId="5F92BE2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支持标本销毁管理，包括单个与批量标本销毁、销毁标本查询等</w:t>
            </w:r>
            <w:r>
              <w:rPr>
                <w:rFonts w:hint="eastAsia" w:ascii="宋体" w:hAnsi="宋体" w:eastAsia="宋体" w:cs="宋体"/>
                <w:color w:val="auto"/>
                <w:kern w:val="0"/>
                <w:sz w:val="24"/>
                <w:szCs w:val="24"/>
                <w:highlight w:val="none"/>
                <w:lang w:eastAsia="zh-CN"/>
              </w:rPr>
              <w:t>。</w:t>
            </w:r>
          </w:p>
        </w:tc>
      </w:tr>
      <w:tr w14:paraId="1217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1A9EB083">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w:t>
            </w:r>
          </w:p>
        </w:tc>
        <w:tc>
          <w:tcPr>
            <w:tcW w:w="1410" w:type="dxa"/>
            <w:vAlign w:val="center"/>
          </w:tcPr>
          <w:p w14:paraId="48269232">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i w:val="0"/>
                <w:iCs w:val="0"/>
                <w:color w:val="auto"/>
                <w:kern w:val="0"/>
                <w:sz w:val="24"/>
                <w:szCs w:val="24"/>
                <w:highlight w:val="none"/>
              </w:rPr>
              <w:t>知识库管理</w:t>
            </w:r>
          </w:p>
        </w:tc>
        <w:tc>
          <w:tcPr>
            <w:tcW w:w="7404" w:type="dxa"/>
            <w:vAlign w:val="center"/>
          </w:tcPr>
          <w:p w14:paraId="2D6D33A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结构化：提供结构化检验知识库，可以自由定义对于性别，诊断，标本类型、药品、体征等元素对于检验项目的影响和标准</w:t>
            </w:r>
            <w:r>
              <w:rPr>
                <w:rFonts w:hint="eastAsia" w:ascii="宋体" w:hAnsi="宋体" w:eastAsia="宋体" w:cs="宋体"/>
                <w:color w:val="auto"/>
                <w:kern w:val="0"/>
                <w:sz w:val="24"/>
                <w:szCs w:val="24"/>
                <w:highlight w:val="none"/>
                <w:lang w:eastAsia="zh-CN"/>
              </w:rPr>
              <w:t>。</w:t>
            </w:r>
          </w:p>
          <w:p w14:paraId="3F7E2ACB">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标准化：&lt;全国临床检验操作规程&gt;最新版中关于检验项目的临床意义，样本采集要求；《诊断学（第8版）》中关于项目和疾病适应症的描述</w:t>
            </w:r>
            <w:r>
              <w:rPr>
                <w:rFonts w:hint="eastAsia" w:ascii="宋体" w:hAnsi="宋体" w:eastAsia="宋体" w:cs="宋体"/>
                <w:color w:val="auto"/>
                <w:kern w:val="0"/>
                <w:sz w:val="24"/>
                <w:szCs w:val="24"/>
                <w:highlight w:val="none"/>
                <w:lang w:eastAsia="zh-CN"/>
              </w:rPr>
              <w:t>。</w:t>
            </w:r>
          </w:p>
          <w:p w14:paraId="0D47416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全流程：护士打印条码、医生查看报告、检验科报告审核中可以随时查看检验项目知识库的内容</w:t>
            </w:r>
            <w:r>
              <w:rPr>
                <w:rFonts w:hint="eastAsia" w:ascii="宋体" w:hAnsi="宋体" w:eastAsia="宋体" w:cs="宋体"/>
                <w:color w:val="auto"/>
                <w:kern w:val="0"/>
                <w:sz w:val="24"/>
                <w:szCs w:val="24"/>
                <w:highlight w:val="none"/>
                <w:lang w:eastAsia="zh-CN"/>
              </w:rPr>
              <w:t>。</w:t>
            </w:r>
          </w:p>
          <w:p w14:paraId="59606F0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灵活性：可自定义诊断、用药和检验项目之间的规则同时可以维护规则自动触发事件</w:t>
            </w:r>
            <w:r>
              <w:rPr>
                <w:rFonts w:hint="eastAsia" w:ascii="宋体" w:hAnsi="宋体" w:eastAsia="宋体" w:cs="宋体"/>
                <w:color w:val="auto"/>
                <w:kern w:val="0"/>
                <w:sz w:val="24"/>
                <w:szCs w:val="24"/>
                <w:highlight w:val="none"/>
                <w:lang w:eastAsia="zh-CN"/>
              </w:rPr>
              <w:t>。</w:t>
            </w:r>
          </w:p>
          <w:p w14:paraId="1BD6A96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开放性：检验知识库可以采用标准的接口提供第三方调用</w:t>
            </w:r>
            <w:r>
              <w:rPr>
                <w:rFonts w:hint="eastAsia" w:ascii="宋体" w:hAnsi="宋体" w:eastAsia="宋体" w:cs="宋体"/>
                <w:color w:val="auto"/>
                <w:kern w:val="0"/>
                <w:sz w:val="24"/>
                <w:szCs w:val="24"/>
                <w:highlight w:val="none"/>
                <w:lang w:eastAsia="zh-CN"/>
              </w:rPr>
              <w:t>。</w:t>
            </w:r>
          </w:p>
          <w:p w14:paraId="4DBC4F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检验知识库涵盖针对检验人员、采血护士、临床医生等相关的检验知识，包括检验申请、标本采集、标本接收、报告审核、查看报告等各种相应的知识。</w:t>
            </w:r>
          </w:p>
        </w:tc>
      </w:tr>
      <w:tr w14:paraId="6996E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4AF7AA3C">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w:t>
            </w:r>
          </w:p>
        </w:tc>
        <w:tc>
          <w:tcPr>
            <w:tcW w:w="1410" w:type="dxa"/>
            <w:vAlign w:val="center"/>
          </w:tcPr>
          <w:p w14:paraId="026A69F1">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文档管理</w:t>
            </w:r>
          </w:p>
        </w:tc>
        <w:tc>
          <w:tcPr>
            <w:tcW w:w="7404" w:type="dxa"/>
            <w:vAlign w:val="center"/>
          </w:tcPr>
          <w:p w14:paraId="5E7ECC9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具有文档管理岗位首页，首页可以显示待办事项包括待审核数、待审批数、待发布数、待阅读数，修订待审核数、修订待审批数、作废待审核数、作废待审批数、文档总数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p>
          <w:p w14:paraId="70F476CD">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文档不安装客户端，支持直接在线编辑</w:t>
            </w:r>
            <w:r>
              <w:rPr>
                <w:rFonts w:hint="eastAsia" w:ascii="宋体" w:hAnsi="宋体" w:eastAsia="宋体" w:cs="宋体"/>
                <w:color w:val="auto"/>
                <w:kern w:val="0"/>
                <w:sz w:val="24"/>
                <w:szCs w:val="24"/>
                <w:highlight w:val="none"/>
                <w:lang w:eastAsia="zh-CN"/>
              </w:rPr>
              <w:t>。</w:t>
            </w:r>
          </w:p>
          <w:p w14:paraId="732112C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支持文件目录操作，根据用户权限新增、删除、修改文件等，支持文档阅读、修改、审核与发布等，可查看操作变更记录，包括操作人、操作时间等</w:t>
            </w:r>
            <w:r>
              <w:rPr>
                <w:rFonts w:hint="eastAsia" w:ascii="宋体" w:hAnsi="宋体" w:eastAsia="宋体" w:cs="宋体"/>
                <w:color w:val="auto"/>
                <w:kern w:val="0"/>
                <w:sz w:val="24"/>
                <w:szCs w:val="24"/>
                <w:highlight w:val="none"/>
                <w:lang w:eastAsia="zh-CN"/>
              </w:rPr>
              <w:t>。</w:t>
            </w:r>
          </w:p>
          <w:p w14:paraId="41E6C61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支持文件修订管理：提交修订申请、审核修订申请、提交修订文件、审核修订文件、审批发布文件、文件作废与归档。</w:t>
            </w:r>
          </w:p>
          <w:p w14:paraId="4731447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支持的文件格式：文件格式涵盖了所有doc，docx，xls，xlsx，jpg，jpeg，png，gif，bmp，pdf，ppt，pptx。</w:t>
            </w:r>
          </w:p>
          <w:p w14:paraId="1CC21053">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所有文件可以自定义电子审批流程，实现在线办公，具备待办事项提醒功能。</w:t>
            </w:r>
          </w:p>
        </w:tc>
      </w:tr>
      <w:tr w14:paraId="449D4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1" w:type="dxa"/>
            <w:vAlign w:val="center"/>
          </w:tcPr>
          <w:p w14:paraId="56FF2F67">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34</w:t>
            </w:r>
          </w:p>
        </w:tc>
        <w:tc>
          <w:tcPr>
            <w:tcW w:w="1410" w:type="dxa"/>
            <w:vAlign w:val="center"/>
          </w:tcPr>
          <w:p w14:paraId="2EAEA543">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设备管理</w:t>
            </w:r>
          </w:p>
        </w:tc>
        <w:tc>
          <w:tcPr>
            <w:tcW w:w="7404" w:type="dxa"/>
            <w:vAlign w:val="center"/>
          </w:tcPr>
          <w:p w14:paraId="72E8057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具有设备管理岗位首页，首页可以显示待办事项包括我的设备、待执行计划数、校准数、不良事件/维修数、待审核数，可以采用日历方式展现每日的执行计划</w:t>
            </w:r>
            <w:r>
              <w:rPr>
                <w:rFonts w:hint="eastAsia" w:ascii="宋体" w:hAnsi="宋体" w:eastAsia="宋体" w:cs="宋体"/>
                <w:color w:val="auto"/>
                <w:kern w:val="0"/>
                <w:sz w:val="24"/>
                <w:szCs w:val="24"/>
                <w:highlight w:val="none"/>
                <w:lang w:eastAsia="zh-CN"/>
              </w:rPr>
              <w:t>。</w:t>
            </w:r>
          </w:p>
          <w:p w14:paraId="37EE6301">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按照ISO15189体系要求，对实验室人机料法环样测等管理活动中所产生的档案实现了集中统一管理，并能够按照管理主体和分类进行档案查询、浏览和打印。</w:t>
            </w:r>
          </w:p>
          <w:p w14:paraId="7ED7031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设备维护保养可以设定计划，到时自动触发（如：每天某个时点，每周，每月等），可设定每个计划的执行步骤（如：日保养包括5个登记步骤和内容等），可设定每个步骤的录入方式（如：打勾，常用填写文字列表选择，直接填写内容等形式），可定义每个计划的责任人，填写的内容最终可以汇总成统一报告</w:t>
            </w:r>
            <w:r>
              <w:rPr>
                <w:rFonts w:hint="eastAsia" w:ascii="宋体" w:hAnsi="宋体" w:eastAsia="宋体" w:cs="宋体"/>
                <w:color w:val="auto"/>
                <w:kern w:val="0"/>
                <w:sz w:val="24"/>
                <w:szCs w:val="24"/>
                <w:highlight w:val="none"/>
                <w:lang w:eastAsia="zh-CN"/>
              </w:rPr>
              <w:t>。</w:t>
            </w:r>
            <w:r>
              <w:rPr>
                <w:rFonts w:hint="eastAsia" w:ascii="宋体" w:hAnsi="宋体" w:eastAsia="宋体" w:cs="宋体"/>
                <w:b/>
                <w:bCs/>
                <w:strike w:val="0"/>
                <w:dstrike w:val="0"/>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strike w:val="0"/>
                <w:dstrike w:val="0"/>
                <w:color w:val="auto"/>
                <w:kern w:val="0"/>
                <w:sz w:val="24"/>
                <w:szCs w:val="24"/>
                <w:highlight w:val="none"/>
              </w:rPr>
              <w:t>需</w:t>
            </w:r>
            <w:r>
              <w:rPr>
                <w:rFonts w:hint="eastAsia" w:ascii="宋体" w:hAnsi="宋体" w:eastAsia="宋体" w:cs="宋体"/>
                <w:b/>
                <w:bCs/>
                <w:strike w:val="0"/>
                <w:dstrike w:val="0"/>
                <w:color w:val="auto"/>
                <w:kern w:val="0"/>
                <w:sz w:val="24"/>
                <w:szCs w:val="24"/>
                <w:highlight w:val="none"/>
                <w:lang w:val="en-US" w:eastAsia="zh-CN"/>
              </w:rPr>
              <w:t>提供</w:t>
            </w:r>
            <w:r>
              <w:rPr>
                <w:rFonts w:hint="eastAsia" w:ascii="宋体" w:hAnsi="宋体" w:eastAsia="宋体" w:cs="宋体"/>
                <w:b/>
                <w:bCs/>
                <w:strike w:val="0"/>
                <w:dstrike w:val="0"/>
                <w:color w:val="auto"/>
                <w:kern w:val="0"/>
                <w:sz w:val="24"/>
                <w:szCs w:val="24"/>
                <w:highlight w:val="none"/>
              </w:rPr>
              <w:t>软件操作界面的截图佐证）</w:t>
            </w:r>
          </w:p>
          <w:p w14:paraId="01FE773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支持电子设备档案，包括但不限于购买日期、厂家、校准周期、校准记录、维修保养记录等实验室和ISO15189认可要求的内容。</w:t>
            </w:r>
          </w:p>
          <w:p w14:paraId="3986DF4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无线电子设备卡</w:t>
            </w:r>
            <w:r>
              <w:rPr>
                <w:rFonts w:hint="eastAsia" w:ascii="宋体" w:hAnsi="宋体" w:eastAsia="宋体" w:cs="宋体"/>
                <w:color w:val="auto"/>
                <w:kern w:val="0"/>
                <w:sz w:val="24"/>
                <w:szCs w:val="24"/>
                <w:highlight w:val="none"/>
                <w:lang w:eastAsia="zh-CN"/>
              </w:rPr>
              <w:t>。</w:t>
            </w:r>
          </w:p>
          <w:p w14:paraId="70C86BE8">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支持设备电子无线标识卡，可实时动态的显示设备当前状态（如：在用、停用、故障、保养情况）、名称、编号、下次校准日期、负责人、当日操作人等信息。</w:t>
            </w:r>
          </w:p>
          <w:p w14:paraId="70FFF09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支持权限控制，分配设备的使用权限</w:t>
            </w:r>
            <w:r>
              <w:rPr>
                <w:rFonts w:hint="eastAsia" w:ascii="宋体" w:hAnsi="宋体" w:eastAsia="宋体" w:cs="宋体"/>
                <w:color w:val="auto"/>
                <w:kern w:val="0"/>
                <w:sz w:val="24"/>
                <w:szCs w:val="24"/>
                <w:highlight w:val="none"/>
                <w:lang w:eastAsia="zh-CN"/>
              </w:rPr>
              <w:t>。</w:t>
            </w:r>
          </w:p>
          <w:p w14:paraId="1AE16B9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从验收启用、培训上岗、定标校准、日常维护保养、不良事件登记、维修到报废全生命周期管理，记录相关操作信息，确保设备可溯源。</w:t>
            </w:r>
          </w:p>
          <w:p w14:paraId="1BBC8839">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支持设备启用/报废的流程管理，记录相关操作信息。</w:t>
            </w:r>
          </w:p>
          <w:p w14:paraId="0B1863E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支持设备维修管理，记录相关操作信息。</w:t>
            </w:r>
          </w:p>
          <w:p w14:paraId="340B4DE2">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支持设备调度管理，记录相关操作信息。</w:t>
            </w:r>
          </w:p>
          <w:p w14:paraId="3A57D786">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支持设备不良事件管理，记录相关操作信息。</w:t>
            </w:r>
          </w:p>
          <w:p w14:paraId="1804345E">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支持设备与考试培训系统联动，针对设备组织相应的培训与考试，实现设备的从培训到授权的全流程管理。</w:t>
            </w:r>
          </w:p>
          <w:p w14:paraId="33ED7A3A">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支持LIS仪器的快捷导入</w:t>
            </w:r>
            <w:r>
              <w:rPr>
                <w:rFonts w:hint="eastAsia" w:ascii="宋体" w:hAnsi="宋体" w:eastAsia="宋体" w:cs="宋体"/>
                <w:color w:val="auto"/>
                <w:kern w:val="0"/>
                <w:sz w:val="24"/>
                <w:szCs w:val="24"/>
                <w:highlight w:val="none"/>
                <w:lang w:eastAsia="zh-CN"/>
              </w:rPr>
              <w:t>。</w:t>
            </w:r>
          </w:p>
          <w:p w14:paraId="06B3A225">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支持设备信息总览，卡片化呈现设备信息，包括但不限于维护保养执行情况，维修次数，校准事件等。</w:t>
            </w:r>
          </w:p>
          <w:p w14:paraId="1DF5E500">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自动生成SOP文档</w:t>
            </w:r>
            <w:r>
              <w:rPr>
                <w:rFonts w:hint="eastAsia" w:ascii="宋体" w:hAnsi="宋体" w:eastAsia="宋体" w:cs="宋体"/>
                <w:color w:val="auto"/>
                <w:kern w:val="0"/>
                <w:sz w:val="24"/>
                <w:szCs w:val="24"/>
                <w:highlight w:val="none"/>
                <w:lang w:eastAsia="zh-CN"/>
              </w:rPr>
              <w:t>。</w:t>
            </w:r>
          </w:p>
        </w:tc>
      </w:tr>
      <w:tr w14:paraId="57737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11" w:type="dxa"/>
            <w:vAlign w:val="center"/>
          </w:tcPr>
          <w:p w14:paraId="5F2E216B">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35</w:t>
            </w:r>
          </w:p>
        </w:tc>
        <w:tc>
          <w:tcPr>
            <w:tcW w:w="1410" w:type="dxa"/>
            <w:vAlign w:val="center"/>
          </w:tcPr>
          <w:p w14:paraId="01CE216B">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主任BI掌上检验</w:t>
            </w:r>
          </w:p>
        </w:tc>
        <w:tc>
          <w:tcPr>
            <w:tcW w:w="7404" w:type="dxa"/>
            <w:vAlign w:val="center"/>
          </w:tcPr>
          <w:p w14:paraId="3C70DCBF">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通过手机BI可以展示检验科各方面数据统计分析，详细展示科室业务情况，包括检验科室工作量、收费、危急值闭环、TAT超时、质控、不合格标本、不合格报告等</w:t>
            </w:r>
            <w:r>
              <w:rPr>
                <w:rFonts w:hint="eastAsia" w:ascii="宋体" w:hAnsi="宋体" w:eastAsia="宋体" w:cs="宋体"/>
                <w:color w:val="auto"/>
                <w:kern w:val="0"/>
                <w:sz w:val="24"/>
                <w:szCs w:val="24"/>
                <w:highlight w:val="none"/>
                <w:lang w:eastAsia="zh-CN"/>
              </w:rPr>
              <w:t>。</w:t>
            </w:r>
          </w:p>
          <w:p w14:paraId="14B7FF8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掌上检验依托微信公众号，做为院内LIS系统的延伸和扩展，为科室工作与精细化管理提供便捷。</w:t>
            </w:r>
          </w:p>
          <w:p w14:paraId="480D229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支持各类文档或材料的在线上传，比如人员上岗资格证、院外学习培训记录等。</w:t>
            </w:r>
          </w:p>
          <w:p w14:paraId="32EDB61C">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支持审核审批流程在线办理，比如文档发布流程。</w:t>
            </w:r>
          </w:p>
          <w:p w14:paraId="1FBDD14F">
            <w:pPr>
              <w:pageBreakBefore w:val="0"/>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支持在线考试、在线培训学习。</w:t>
            </w:r>
          </w:p>
          <w:p w14:paraId="0338F938">
            <w:pPr>
              <w:pageBreakBefore w:val="0"/>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需提供方案和软件应用截图提供系统环境备查)</w:t>
            </w:r>
          </w:p>
        </w:tc>
      </w:tr>
      <w:tr w14:paraId="0C47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11" w:type="dxa"/>
            <w:vAlign w:val="center"/>
          </w:tcPr>
          <w:p w14:paraId="3FF74F66">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36</w:t>
            </w:r>
          </w:p>
        </w:tc>
        <w:tc>
          <w:tcPr>
            <w:tcW w:w="1410" w:type="dxa"/>
            <w:vAlign w:val="center"/>
          </w:tcPr>
          <w:p w14:paraId="7AD03A65">
            <w:pPr>
              <w:pageBreakBefore w:val="0"/>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人员360考核与评估系统</w:t>
            </w:r>
          </w:p>
        </w:tc>
        <w:tc>
          <w:tcPr>
            <w:tcW w:w="7404" w:type="dxa"/>
            <w:vAlign w:val="center"/>
          </w:tcPr>
          <w:p w14:paraId="236162DE">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传统的检验考核方式采用粗放的行政化管理无法有效实现效率提高和质量，通过信息化实现人员360考核与评估引导医院检验科在发展方式上由规模扩张型转向质量效益型。</w:t>
            </w:r>
          </w:p>
          <w:p w14:paraId="09C3044C">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人员360考核与评估通过医、教、研、绩效考核围绕医疗考核、科研考核、教学考核多个方面灵活配置考核元素</w:t>
            </w:r>
            <w:r>
              <w:rPr>
                <w:rFonts w:hint="eastAsia" w:ascii="宋体" w:hAnsi="宋体" w:eastAsia="宋体" w:cs="宋体"/>
                <w:color w:val="auto"/>
                <w:kern w:val="0"/>
                <w:sz w:val="24"/>
                <w:szCs w:val="24"/>
                <w:highlight w:val="none"/>
                <w:lang w:eastAsia="zh-CN"/>
              </w:rPr>
              <w:t>。</w:t>
            </w:r>
          </w:p>
          <w:p w14:paraId="0649A29E">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针对不同的考核元素拆解细分绩效任务，设定考核分值</w:t>
            </w:r>
            <w:r>
              <w:rPr>
                <w:rFonts w:hint="eastAsia" w:ascii="宋体" w:hAnsi="宋体" w:eastAsia="宋体" w:cs="宋体"/>
                <w:color w:val="auto"/>
                <w:kern w:val="0"/>
                <w:sz w:val="24"/>
                <w:szCs w:val="24"/>
                <w:highlight w:val="none"/>
                <w:lang w:eastAsia="zh-CN"/>
              </w:rPr>
              <w:t>。</w:t>
            </w:r>
          </w:p>
          <w:p w14:paraId="3265ED4A">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对于考核元素进行提交和审核，自动计算分数，进行考核评价，多维度绩效比对</w:t>
            </w:r>
            <w:r>
              <w:rPr>
                <w:rFonts w:hint="eastAsia" w:ascii="宋体" w:hAnsi="宋体" w:eastAsia="宋体" w:cs="宋体"/>
                <w:color w:val="auto"/>
                <w:kern w:val="0"/>
                <w:sz w:val="24"/>
                <w:szCs w:val="24"/>
                <w:highlight w:val="none"/>
                <w:lang w:eastAsia="zh-CN"/>
              </w:rPr>
              <w:t>。</w:t>
            </w:r>
          </w:p>
          <w:p w14:paraId="35E8981D">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需提供方案和软件应用截图提供系统环境备查)</w:t>
            </w:r>
          </w:p>
        </w:tc>
      </w:tr>
      <w:tr w14:paraId="462B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11" w:type="dxa"/>
            <w:vAlign w:val="center"/>
          </w:tcPr>
          <w:p w14:paraId="2476B855">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37</w:t>
            </w:r>
          </w:p>
        </w:tc>
        <w:tc>
          <w:tcPr>
            <w:tcW w:w="1410" w:type="dxa"/>
            <w:vAlign w:val="center"/>
          </w:tcPr>
          <w:p w14:paraId="38C47F85">
            <w:pPr>
              <w:pageBreakBefore w:val="0"/>
              <w:widowControl/>
              <w:kinsoku/>
              <w:wordWrap/>
              <w:overflowPunct/>
              <w:topLinePunct w:val="0"/>
              <w:autoSpaceDE/>
              <w:autoSpaceDN/>
              <w:bidi w:val="0"/>
              <w:adjustRightInd/>
              <w:snapToGrid/>
              <w:spacing w:beforeAutospacing="0" w:afterAutospacing="0" w:line="300" w:lineRule="auto"/>
              <w:ind w:left="0" w:leftChars="0"/>
              <w:jc w:val="center"/>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PBRTQC</w:t>
            </w:r>
          </w:p>
        </w:tc>
        <w:tc>
          <w:tcPr>
            <w:tcW w:w="7404" w:type="dxa"/>
            <w:vAlign w:val="center"/>
          </w:tcPr>
          <w:p w14:paraId="10AA139D">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color w:val="auto"/>
                <w:kern w:val="0"/>
                <w:sz w:val="24"/>
                <w:szCs w:val="24"/>
                <w:highlight w:val="none"/>
              </w:rPr>
              <w:t>基于患者样本的实时质量控制（Patient-based Real-time Quality Control, PBRTQC）系统是一种基于大数据挖掘以及数学模型回归分析的质控方法，是根据患者样本检测结果，利用统计学模型建立的一套以实时监测实验室检测质量的模型或者规则，可以弥补室内质控不能实时监控分析以及部分没有质控品项目的实时质量监测，是医学检验实验室提高质量控制体系的重要发展方向。</w:t>
            </w:r>
          </w:p>
          <w:p w14:paraId="7A02EBFC">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可以根据不同仪器、项目设置不同的筛选条件、算法、控制阈值等，之间可以相互比较、相互验证，最终转化为实用的日常规则。</w:t>
            </w:r>
          </w:p>
          <w:p w14:paraId="06AEE60A">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可视化数据提取与计算、支持自动和手工操作</w:t>
            </w:r>
          </w:p>
          <w:p w14:paraId="69E8361B">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多维度数据清洗，支持按照患者类别、性别、年龄、标本类型、科室、病区、诊断等指标进行数据筛选清洗</w:t>
            </w:r>
            <w:r>
              <w:rPr>
                <w:rFonts w:hint="eastAsia" w:ascii="宋体" w:hAnsi="宋体" w:eastAsia="宋体" w:cs="宋体"/>
                <w:color w:val="auto"/>
                <w:kern w:val="0"/>
                <w:sz w:val="24"/>
                <w:szCs w:val="24"/>
                <w:highlight w:val="none"/>
                <w:lang w:eastAsia="zh-CN"/>
              </w:rPr>
              <w:t>。</w:t>
            </w:r>
          </w:p>
          <w:p w14:paraId="303834AA">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多算法支持，支持MA、MM、WMA、EWMA、MovSO、AON等多种算法</w:t>
            </w:r>
            <w:r>
              <w:rPr>
                <w:rFonts w:hint="eastAsia" w:ascii="宋体" w:hAnsi="宋体" w:eastAsia="宋体" w:cs="宋体"/>
                <w:color w:val="auto"/>
                <w:kern w:val="0"/>
                <w:sz w:val="24"/>
                <w:szCs w:val="24"/>
                <w:highlight w:val="none"/>
                <w:lang w:eastAsia="zh-CN"/>
              </w:rPr>
              <w:t>。</w:t>
            </w:r>
          </w:p>
          <w:p w14:paraId="41F5D544">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支持多种报警规则</w:t>
            </w:r>
            <w:r>
              <w:rPr>
                <w:rFonts w:hint="eastAsia" w:ascii="宋体" w:hAnsi="宋体" w:eastAsia="宋体" w:cs="宋体"/>
                <w:color w:val="auto"/>
                <w:kern w:val="0"/>
                <w:sz w:val="24"/>
                <w:szCs w:val="24"/>
                <w:highlight w:val="none"/>
                <w:lang w:eastAsia="zh-CN"/>
              </w:rPr>
              <w:t>。</w:t>
            </w:r>
          </w:p>
          <w:p w14:paraId="3DA2C55B">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可汇总显示多种数据指标，包括均值、SD、CV、偏高数、偏低数、最大值、最小值、多种分位数等</w:t>
            </w:r>
            <w:r>
              <w:rPr>
                <w:rFonts w:hint="eastAsia" w:ascii="宋体" w:hAnsi="宋体" w:eastAsia="宋体" w:cs="宋体"/>
                <w:color w:val="auto"/>
                <w:kern w:val="0"/>
                <w:sz w:val="24"/>
                <w:szCs w:val="24"/>
                <w:highlight w:val="none"/>
                <w:lang w:eastAsia="zh-CN"/>
              </w:rPr>
              <w:t>。</w:t>
            </w:r>
          </w:p>
          <w:p w14:paraId="347C1966">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支持质控图显示</w:t>
            </w:r>
            <w:r>
              <w:rPr>
                <w:rFonts w:hint="eastAsia" w:ascii="宋体" w:hAnsi="宋体" w:eastAsia="宋体" w:cs="宋体"/>
                <w:color w:val="auto"/>
                <w:kern w:val="0"/>
                <w:sz w:val="24"/>
                <w:szCs w:val="24"/>
                <w:highlight w:val="none"/>
                <w:lang w:eastAsia="zh-CN"/>
              </w:rPr>
              <w:t>。</w:t>
            </w:r>
          </w:p>
          <w:p w14:paraId="3C10AF1E">
            <w:pPr>
              <w:pageBreakBefore w:val="0"/>
              <w:tabs>
                <w:tab w:val="left" w:pos="0"/>
              </w:tabs>
              <w:kinsoku/>
              <w:wordWrap/>
              <w:overflowPunct/>
              <w:topLinePunct w:val="0"/>
              <w:autoSpaceDE/>
              <w:autoSpaceDN/>
              <w:bidi w:val="0"/>
              <w:adjustRightInd/>
              <w:snapToGrid/>
              <w:spacing w:beforeAutospacing="0" w:afterAutospacing="0" w:line="300" w:lineRule="auto"/>
              <w:ind w:left="0" w:leftChars="0"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kern w:val="0"/>
                <w:sz w:val="24"/>
                <w:szCs w:val="24"/>
                <w:highlight w:val="none"/>
              </w:rPr>
              <w:t>需提供方案和软件应用截图提供系统环境备查)</w:t>
            </w:r>
          </w:p>
        </w:tc>
      </w:tr>
      <w:tr w14:paraId="7F76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11" w:type="dxa"/>
            <w:vAlign w:val="center"/>
          </w:tcPr>
          <w:p w14:paraId="12FB6A4F">
            <w:pPr>
              <w:pageBreakBefore w:val="0"/>
              <w:widowControl/>
              <w:numPr>
                <w:ilvl w:val="0"/>
                <w:numId w:val="0"/>
              </w:numPr>
              <w:kinsoku/>
              <w:wordWrap/>
              <w:overflowPunct/>
              <w:topLinePunct w:val="0"/>
              <w:autoSpaceDE/>
              <w:autoSpaceDN/>
              <w:bidi w:val="0"/>
              <w:adjustRightInd/>
              <w:snapToGrid/>
              <w:spacing w:beforeAutospacing="0" w:afterAutospacing="0" w:line="300" w:lineRule="auto"/>
              <w:ind w:left="720"/>
              <w:contextualSpacing/>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38</w:t>
            </w:r>
          </w:p>
        </w:tc>
        <w:tc>
          <w:tcPr>
            <w:tcW w:w="1410" w:type="dxa"/>
            <w:vAlign w:val="center"/>
          </w:tcPr>
          <w:p w14:paraId="51D0564C">
            <w:pPr>
              <w:pageBreakBefore w:val="0"/>
              <w:widowControl/>
              <w:wordWrap/>
              <w:topLinePunct w:val="0"/>
              <w:autoSpaceDE/>
              <w:autoSpaceDN/>
              <w:bidi w:val="0"/>
              <w:snapToGrid/>
              <w:spacing w:beforeAutospacing="0" w:afterAutospacing="0" w:line="300" w:lineRule="auto"/>
              <w:ind w:left="0" w:leftChars="0"/>
              <w:jc w:val="center"/>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0"/>
                <w:sz w:val="24"/>
                <w:szCs w:val="24"/>
                <w:highlight w:val="none"/>
              </w:rPr>
              <w:t>AI大模型对接</w:t>
            </w:r>
          </w:p>
        </w:tc>
        <w:tc>
          <w:tcPr>
            <w:tcW w:w="7404" w:type="dxa"/>
            <w:vAlign w:val="center"/>
          </w:tcPr>
          <w:p w14:paraId="3842FCAB">
            <w:pPr>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szCs w:val="24"/>
                <w:highlight w:val="none"/>
              </w:rPr>
              <w:t>系统能够灵活与DeepSeek、等大模型平台对接，通过大模型强大的知识理解能力、高性能推理能力和低成本部署等优势，可构建涵盖检验报告智能解读、检验智能问答、</w:t>
            </w:r>
            <w:bookmarkStart w:id="227" w:name="OLE_LINK4"/>
            <w:bookmarkStart w:id="228" w:name="OLE_LINK3"/>
            <w:r>
              <w:rPr>
                <w:rFonts w:hint="eastAsia" w:ascii="宋体" w:hAnsi="宋体" w:eastAsia="宋体" w:cs="宋体"/>
                <w:color w:val="auto"/>
                <w:sz w:val="24"/>
                <w:szCs w:val="24"/>
                <w:highlight w:val="none"/>
              </w:rPr>
              <w:t>影响因素分析</w:t>
            </w:r>
            <w:bookmarkEnd w:id="227"/>
            <w:bookmarkEnd w:id="228"/>
            <w:r>
              <w:rPr>
                <w:rFonts w:hint="eastAsia" w:ascii="宋体" w:hAnsi="宋体" w:eastAsia="宋体" w:cs="宋体"/>
                <w:color w:val="auto"/>
                <w:sz w:val="24"/>
                <w:szCs w:val="24"/>
                <w:highlight w:val="none"/>
              </w:rPr>
              <w:t>等场景的应用分析方案，辅助检验更好地服务于临床和患者</w:t>
            </w:r>
            <w:r>
              <w:rPr>
                <w:rFonts w:hint="eastAsia" w:ascii="宋体" w:hAnsi="宋体" w:eastAsia="宋体" w:cs="宋体"/>
                <w:color w:val="auto"/>
                <w:sz w:val="24"/>
                <w:szCs w:val="24"/>
                <w:highlight w:val="none"/>
                <w:lang w:eastAsia="zh-CN"/>
              </w:rPr>
              <w:t>。</w:t>
            </w:r>
          </w:p>
        </w:tc>
      </w:tr>
    </w:tbl>
    <w:p w14:paraId="0C3C45A7">
      <w:pPr>
        <w:wordWrap/>
        <w:topLinePunct w:val="0"/>
        <w:bidi w:val="0"/>
        <w:spacing w:line="300" w:lineRule="auto"/>
        <w:jc w:val="left"/>
        <w:outlineLvl w:val="0"/>
        <w:rPr>
          <w:rFonts w:hint="default" w:ascii="Times New Roman" w:hAnsi="Times New Roman" w:eastAsia="宋体" w:cs="Times New Roman"/>
          <w:b/>
          <w:bCs/>
          <w:color w:val="auto"/>
          <w:sz w:val="24"/>
          <w:szCs w:val="24"/>
          <w:highlight w:val="none"/>
          <w:lang w:val="en-US" w:eastAsia="zh-CN"/>
        </w:rPr>
      </w:pPr>
    </w:p>
    <w:p w14:paraId="2589E494">
      <w:pPr>
        <w:wordWrap/>
        <w:topLinePunct w:val="0"/>
        <w:bidi w:val="0"/>
        <w:spacing w:line="300" w:lineRule="auto"/>
        <w:ind w:firstLine="482" w:firstLineChars="200"/>
        <w:jc w:val="left"/>
        <w:outlineLvl w:val="0"/>
        <w:rPr>
          <w:rFonts w:hint="default" w:ascii="Times New Roman" w:hAnsi="Times New Roman" w:eastAsia="宋体" w:cs="Times New Roman"/>
          <w:b/>
          <w:bCs/>
          <w:color w:val="auto"/>
          <w:sz w:val="44"/>
          <w:szCs w:val="44"/>
          <w:highlight w:val="none"/>
          <w:lang w:val="en-US" w:eastAsia="zh-CN"/>
        </w:rPr>
      </w:pPr>
      <w:r>
        <w:rPr>
          <w:rFonts w:hint="default" w:ascii="Times New Roman" w:hAnsi="Times New Roman" w:eastAsia="宋体" w:cs="Times New Roman"/>
          <w:b/>
          <w:bCs/>
          <w:color w:val="auto"/>
          <w:sz w:val="24"/>
          <w:szCs w:val="24"/>
          <w:highlight w:val="none"/>
          <w:lang w:val="en-US" w:eastAsia="zh-CN"/>
        </w:rPr>
        <w:t>区域检验平台系统技术参数：</w:t>
      </w:r>
    </w:p>
    <w:tbl>
      <w:tblPr>
        <w:tblStyle w:val="19"/>
        <w:tblpPr w:leftFromText="180" w:rightFromText="180" w:vertAnchor="text" w:horzAnchor="page" w:tblpX="1250" w:tblpY="423"/>
        <w:tblOverlap w:val="never"/>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65"/>
        <w:gridCol w:w="7365"/>
      </w:tblGrid>
      <w:tr w14:paraId="59EB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24F982B0">
            <w:pPr>
              <w:pageBreakBefore w:val="0"/>
              <w:widowControl/>
              <w:wordWrap/>
              <w:topLinePunct w:val="0"/>
              <w:autoSpaceDE/>
              <w:autoSpaceDN/>
              <w:bidi w:val="0"/>
              <w:snapToGrid/>
              <w:spacing w:beforeAutospacing="0" w:afterAutospacing="0" w:line="300" w:lineRule="auto"/>
              <w:ind w:left="0" w:lef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序号</w:t>
            </w:r>
          </w:p>
        </w:tc>
        <w:tc>
          <w:tcPr>
            <w:tcW w:w="1365" w:type="dxa"/>
            <w:tcBorders>
              <w:top w:val="single" w:color="auto" w:sz="4" w:space="0"/>
              <w:left w:val="nil"/>
              <w:bottom w:val="single" w:color="auto" w:sz="4" w:space="0"/>
              <w:right w:val="single" w:color="auto" w:sz="4" w:space="0"/>
            </w:tcBorders>
            <w:vAlign w:val="center"/>
          </w:tcPr>
          <w:p w14:paraId="1EAFADD0">
            <w:pPr>
              <w:pageBreakBefore w:val="0"/>
              <w:widowControl/>
              <w:wordWrap/>
              <w:topLinePunct w:val="0"/>
              <w:autoSpaceDE/>
              <w:autoSpaceDN/>
              <w:bidi w:val="0"/>
              <w:snapToGrid/>
              <w:spacing w:beforeAutospacing="0" w:afterAutospacing="0" w:line="30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0"/>
                <w:sz w:val="24"/>
                <w:szCs w:val="24"/>
                <w:highlight w:val="none"/>
              </w:rPr>
              <w:t>模块名称</w:t>
            </w:r>
          </w:p>
        </w:tc>
        <w:tc>
          <w:tcPr>
            <w:tcW w:w="7365" w:type="dxa"/>
            <w:tcBorders>
              <w:top w:val="single" w:color="auto" w:sz="4" w:space="0"/>
              <w:left w:val="nil"/>
              <w:bottom w:val="single" w:color="auto" w:sz="4" w:space="0"/>
              <w:right w:val="single" w:color="auto" w:sz="4" w:space="0"/>
            </w:tcBorders>
            <w:vAlign w:val="center"/>
          </w:tcPr>
          <w:p w14:paraId="5C8813D1">
            <w:pPr>
              <w:pageBreakBefore w:val="0"/>
              <w:widowControl/>
              <w:wordWrap/>
              <w:topLinePunct w:val="0"/>
              <w:autoSpaceDE/>
              <w:autoSpaceDN/>
              <w:bidi w:val="0"/>
              <w:snapToGrid/>
              <w:spacing w:beforeAutospacing="0" w:afterAutospacing="0" w:line="30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0"/>
                <w:sz w:val="24"/>
                <w:szCs w:val="24"/>
                <w:highlight w:val="none"/>
              </w:rPr>
              <w:t>功能介绍</w:t>
            </w:r>
          </w:p>
        </w:tc>
      </w:tr>
      <w:tr w14:paraId="533F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2B40CA11">
            <w:pPr>
              <w:pageBreakBefore w:val="0"/>
              <w:widowControl/>
              <w:numPr>
                <w:ilvl w:val="0"/>
                <w:numId w:val="0"/>
              </w:numPr>
              <w:wordWrap/>
              <w:topLinePunct w:val="0"/>
              <w:autoSpaceDE/>
              <w:autoSpaceDN/>
              <w:bidi w:val="0"/>
              <w:snapToGrid/>
              <w:spacing w:beforeAutospacing="0" w:afterAutospacing="0" w:line="300" w:lineRule="auto"/>
              <w:ind w:left="72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39</w:t>
            </w:r>
          </w:p>
        </w:tc>
        <w:tc>
          <w:tcPr>
            <w:tcW w:w="1365" w:type="dxa"/>
            <w:tcBorders>
              <w:top w:val="nil"/>
              <w:left w:val="nil"/>
              <w:bottom w:val="single" w:color="auto" w:sz="4" w:space="0"/>
              <w:right w:val="single" w:color="auto" w:sz="4" w:space="0"/>
            </w:tcBorders>
            <w:vAlign w:val="center"/>
          </w:tcPr>
          <w:p w14:paraId="67225983">
            <w:pPr>
              <w:pageBreakBefore w:val="0"/>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区域检验信息平台基础数据与标准字典管理</w:t>
            </w:r>
          </w:p>
        </w:tc>
        <w:tc>
          <w:tcPr>
            <w:tcW w:w="7365" w:type="dxa"/>
            <w:tcBorders>
              <w:top w:val="single" w:color="auto" w:sz="4" w:space="0"/>
              <w:left w:val="nil"/>
              <w:bottom w:val="single" w:color="auto" w:sz="4" w:space="0"/>
              <w:right w:val="single" w:color="auto" w:sz="4" w:space="0"/>
            </w:tcBorders>
            <w:vAlign w:val="center"/>
          </w:tcPr>
          <w:p w14:paraId="7DE1FB5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用户、角色、权限管理：用户基本信息管理、角色管理、角色权限管理、角色对应用户、角色对应区域、用户对应区域</w:t>
            </w:r>
            <w:r>
              <w:rPr>
                <w:rFonts w:hint="eastAsia" w:ascii="宋体" w:hAnsi="宋体" w:eastAsia="宋体" w:cs="宋体"/>
                <w:color w:val="auto"/>
                <w:sz w:val="24"/>
                <w:szCs w:val="24"/>
                <w:highlight w:val="none"/>
                <w:lang w:eastAsia="zh-CN"/>
              </w:rPr>
              <w:t>。</w:t>
            </w:r>
          </w:p>
          <w:p w14:paraId="06D93406">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医疗机构管理：区域基本信息管理、医院基本信息管理</w:t>
            </w:r>
            <w:r>
              <w:rPr>
                <w:rFonts w:hint="eastAsia" w:ascii="宋体" w:hAnsi="宋体" w:eastAsia="宋体" w:cs="宋体"/>
                <w:color w:val="auto"/>
                <w:sz w:val="24"/>
                <w:szCs w:val="24"/>
                <w:highlight w:val="none"/>
                <w:lang w:eastAsia="zh-CN"/>
              </w:rPr>
              <w:t>。</w:t>
            </w:r>
          </w:p>
          <w:p w14:paraId="2C47C62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区域内统一的条码规则字典管理</w:t>
            </w:r>
            <w:r>
              <w:rPr>
                <w:rFonts w:hint="eastAsia" w:ascii="宋体" w:hAnsi="宋体" w:eastAsia="宋体" w:cs="宋体"/>
                <w:color w:val="auto"/>
                <w:sz w:val="24"/>
                <w:szCs w:val="24"/>
                <w:highlight w:val="none"/>
                <w:lang w:eastAsia="zh-CN"/>
              </w:rPr>
              <w:t>。</w:t>
            </w:r>
          </w:p>
          <w:p w14:paraId="1C011F99">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标本类型标准库管理</w:t>
            </w:r>
            <w:r>
              <w:rPr>
                <w:rFonts w:hint="eastAsia" w:ascii="宋体" w:hAnsi="宋体" w:eastAsia="宋体" w:cs="宋体"/>
                <w:color w:val="auto"/>
                <w:sz w:val="24"/>
                <w:szCs w:val="24"/>
                <w:highlight w:val="none"/>
                <w:lang w:eastAsia="zh-CN"/>
              </w:rPr>
              <w:t>。</w:t>
            </w:r>
          </w:p>
          <w:p w14:paraId="66FDF189">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申请项目标准库建立</w:t>
            </w:r>
            <w:r>
              <w:rPr>
                <w:rFonts w:hint="eastAsia" w:ascii="宋体" w:hAnsi="宋体" w:eastAsia="宋体" w:cs="宋体"/>
                <w:color w:val="auto"/>
                <w:sz w:val="24"/>
                <w:szCs w:val="24"/>
                <w:highlight w:val="none"/>
                <w:lang w:eastAsia="zh-CN"/>
              </w:rPr>
              <w:t>。</w:t>
            </w:r>
          </w:p>
          <w:p w14:paraId="06C28B1A">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报告项目标准库建立</w:t>
            </w:r>
            <w:r>
              <w:rPr>
                <w:rFonts w:hint="eastAsia" w:ascii="宋体" w:hAnsi="宋体" w:eastAsia="宋体" w:cs="宋体"/>
                <w:color w:val="auto"/>
                <w:sz w:val="24"/>
                <w:szCs w:val="24"/>
                <w:highlight w:val="none"/>
                <w:lang w:eastAsia="zh-CN"/>
              </w:rPr>
              <w:t>。</w:t>
            </w:r>
          </w:p>
          <w:p w14:paraId="42E27D42">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抗生素项目标准库建立</w:t>
            </w:r>
            <w:r>
              <w:rPr>
                <w:rFonts w:hint="eastAsia" w:ascii="宋体" w:hAnsi="宋体" w:eastAsia="宋体" w:cs="宋体"/>
                <w:color w:val="auto"/>
                <w:sz w:val="24"/>
                <w:szCs w:val="24"/>
                <w:highlight w:val="none"/>
                <w:lang w:eastAsia="zh-CN"/>
              </w:rPr>
              <w:t>。</w:t>
            </w:r>
          </w:p>
        </w:tc>
      </w:tr>
      <w:tr w14:paraId="200A1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57521B52">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40</w:t>
            </w:r>
          </w:p>
        </w:tc>
        <w:tc>
          <w:tcPr>
            <w:tcW w:w="1365" w:type="dxa"/>
            <w:tcBorders>
              <w:top w:val="nil"/>
              <w:left w:val="nil"/>
              <w:bottom w:val="single" w:color="auto" w:sz="4" w:space="0"/>
              <w:right w:val="single" w:color="auto" w:sz="4" w:space="0"/>
            </w:tcBorders>
            <w:vAlign w:val="center"/>
          </w:tcPr>
          <w:p w14:paraId="36847CB1">
            <w:pPr>
              <w:pageBreakBefore w:val="0"/>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区域检验信息平台基础数据接口</w:t>
            </w:r>
          </w:p>
        </w:tc>
        <w:tc>
          <w:tcPr>
            <w:tcW w:w="7365" w:type="dxa"/>
            <w:tcBorders>
              <w:top w:val="single" w:color="auto" w:sz="4" w:space="0"/>
              <w:left w:val="nil"/>
              <w:bottom w:val="single" w:color="auto" w:sz="4" w:space="0"/>
              <w:right w:val="single" w:color="auto" w:sz="4" w:space="0"/>
            </w:tcBorders>
            <w:vAlign w:val="center"/>
          </w:tcPr>
          <w:p w14:paraId="30C054D1">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提供标准接口，支持区域内检验机构和平台对接实现数据交互</w:t>
            </w:r>
            <w:r>
              <w:rPr>
                <w:rFonts w:hint="eastAsia" w:ascii="宋体" w:hAnsi="宋体" w:eastAsia="宋体" w:cs="宋体"/>
                <w:color w:val="auto"/>
                <w:sz w:val="24"/>
                <w:szCs w:val="24"/>
                <w:highlight w:val="none"/>
                <w:lang w:eastAsia="zh-CN"/>
              </w:rPr>
              <w:t>。</w:t>
            </w:r>
          </w:p>
          <w:p w14:paraId="1B820B8C">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支持医院标本类型上传</w:t>
            </w:r>
            <w:r>
              <w:rPr>
                <w:rFonts w:hint="eastAsia" w:ascii="宋体" w:hAnsi="宋体" w:eastAsia="宋体" w:cs="宋体"/>
                <w:color w:val="auto"/>
                <w:sz w:val="24"/>
                <w:szCs w:val="24"/>
                <w:highlight w:val="none"/>
                <w:lang w:eastAsia="zh-CN"/>
              </w:rPr>
              <w:t>。</w:t>
            </w:r>
          </w:p>
          <w:p w14:paraId="2687EDF2">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支持医院申请项目上传</w:t>
            </w:r>
            <w:r>
              <w:rPr>
                <w:rFonts w:hint="eastAsia" w:ascii="宋体" w:hAnsi="宋体" w:eastAsia="宋体" w:cs="宋体"/>
                <w:color w:val="auto"/>
                <w:sz w:val="24"/>
                <w:szCs w:val="24"/>
                <w:highlight w:val="none"/>
                <w:lang w:eastAsia="zh-CN"/>
              </w:rPr>
              <w:t>。</w:t>
            </w:r>
          </w:p>
          <w:p w14:paraId="503AD909">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支持医院报告项目上传</w:t>
            </w:r>
            <w:r>
              <w:rPr>
                <w:rFonts w:hint="eastAsia" w:ascii="宋体" w:hAnsi="宋体" w:eastAsia="宋体" w:cs="宋体"/>
                <w:color w:val="auto"/>
                <w:sz w:val="24"/>
                <w:szCs w:val="24"/>
                <w:highlight w:val="none"/>
                <w:lang w:eastAsia="zh-CN"/>
              </w:rPr>
              <w:t>。</w:t>
            </w:r>
          </w:p>
          <w:p w14:paraId="36EA9DD6">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支持医院抗生素上传</w:t>
            </w:r>
            <w:r>
              <w:rPr>
                <w:rFonts w:hint="eastAsia" w:ascii="宋体" w:hAnsi="宋体" w:eastAsia="宋体" w:cs="宋体"/>
                <w:color w:val="auto"/>
                <w:sz w:val="24"/>
                <w:szCs w:val="24"/>
                <w:highlight w:val="none"/>
                <w:lang w:eastAsia="zh-CN"/>
              </w:rPr>
              <w:t>。</w:t>
            </w:r>
          </w:p>
        </w:tc>
      </w:tr>
      <w:tr w14:paraId="51F5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39B10F15">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41</w:t>
            </w:r>
          </w:p>
        </w:tc>
        <w:tc>
          <w:tcPr>
            <w:tcW w:w="1365" w:type="dxa"/>
            <w:tcBorders>
              <w:top w:val="single" w:color="auto" w:sz="4" w:space="0"/>
              <w:left w:val="single" w:color="auto" w:sz="4" w:space="0"/>
              <w:bottom w:val="single" w:color="auto" w:sz="4" w:space="0"/>
              <w:right w:val="single" w:color="auto" w:sz="4" w:space="0"/>
            </w:tcBorders>
            <w:vAlign w:val="center"/>
          </w:tcPr>
          <w:p w14:paraId="7D7B338A">
            <w:pPr>
              <w:pageBreakBefore w:val="0"/>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区域检验信息平台与中心医院LIS对接</w:t>
            </w:r>
          </w:p>
        </w:tc>
        <w:tc>
          <w:tcPr>
            <w:tcW w:w="7365" w:type="dxa"/>
            <w:tcBorders>
              <w:top w:val="single" w:color="auto" w:sz="4" w:space="0"/>
              <w:left w:val="nil"/>
              <w:bottom w:val="single" w:color="auto" w:sz="4" w:space="0"/>
              <w:right w:val="single" w:color="auto" w:sz="4" w:space="0"/>
            </w:tcBorders>
            <w:vAlign w:val="center"/>
          </w:tcPr>
          <w:p w14:paraId="3D3AE18F">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提供标准接口，支持区域内检验机构和平台对接实现数据交互</w:t>
            </w:r>
            <w:r>
              <w:rPr>
                <w:rFonts w:hint="eastAsia" w:ascii="宋体" w:hAnsi="宋体" w:eastAsia="宋体" w:cs="宋体"/>
                <w:color w:val="auto"/>
                <w:sz w:val="24"/>
                <w:szCs w:val="24"/>
                <w:highlight w:val="none"/>
                <w:lang w:eastAsia="zh-CN"/>
              </w:rPr>
              <w:t>：</w:t>
            </w:r>
          </w:p>
          <w:p w14:paraId="00D6B93D">
            <w:pPr>
              <w:pageBreakBefore w:val="0"/>
              <w:widowControl/>
              <w:numPr>
                <w:ilvl w:val="0"/>
                <w:numId w:val="3"/>
              </w:numPr>
              <w:kinsoku w:val="0"/>
              <w:wordWrap/>
              <w:overflowPunct w:val="0"/>
              <w:topLinePunct w:val="0"/>
              <w:autoSpaceDE/>
              <w:autoSpaceDN/>
              <w:bidi w:val="0"/>
              <w:snapToGrid/>
              <w:spacing w:beforeAutospacing="0" w:afterAutospacing="0" w:line="300" w:lineRule="auto"/>
              <w:ind w:left="0" w:leftChars="0" w:firstLine="420" w:firstLineChars="0"/>
              <w:contextualSpacing/>
              <w:jc w:val="left"/>
              <w:textAlignment w:val="baseline"/>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szCs w:val="24"/>
                <w:highlight w:val="none"/>
                <w:lang w:val="en-US" w:eastAsia="en-US" w:bidi="ar-SA"/>
              </w:rPr>
              <w:t>检验申请信息下载：患者信息、检验申请项目信息；</w:t>
            </w:r>
          </w:p>
          <w:p w14:paraId="2BD432FB">
            <w:pPr>
              <w:pageBreakBefore w:val="0"/>
              <w:widowControl/>
              <w:numPr>
                <w:ilvl w:val="0"/>
                <w:numId w:val="3"/>
              </w:numPr>
              <w:kinsoku w:val="0"/>
              <w:wordWrap/>
              <w:overflowPunct w:val="0"/>
              <w:topLinePunct w:val="0"/>
              <w:autoSpaceDE/>
              <w:autoSpaceDN/>
              <w:bidi w:val="0"/>
              <w:snapToGrid/>
              <w:spacing w:beforeAutospacing="0" w:afterAutospacing="0" w:line="300" w:lineRule="auto"/>
              <w:ind w:left="0" w:leftChars="0" w:firstLine="420" w:firstLineChars="0"/>
              <w:contextualSpacing/>
              <w:jc w:val="left"/>
              <w:textAlignment w:val="baseline"/>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szCs w:val="24"/>
                <w:highlight w:val="none"/>
                <w:lang w:val="en-US" w:eastAsia="en-US" w:bidi="ar-SA"/>
              </w:rPr>
              <w:t>检验结果信息上传：检验项目结果数据，PDF报告文件；</w:t>
            </w:r>
          </w:p>
          <w:p w14:paraId="1417CD94">
            <w:pPr>
              <w:pageBreakBefore w:val="0"/>
              <w:widowControl/>
              <w:numPr>
                <w:ilvl w:val="0"/>
                <w:numId w:val="3"/>
              </w:numPr>
              <w:kinsoku w:val="0"/>
              <w:wordWrap/>
              <w:overflowPunct w:val="0"/>
              <w:topLinePunct w:val="0"/>
              <w:autoSpaceDE/>
              <w:autoSpaceDN/>
              <w:bidi w:val="0"/>
              <w:snapToGrid/>
              <w:spacing w:beforeAutospacing="0" w:afterAutospacing="0" w:line="300" w:lineRule="auto"/>
              <w:ind w:left="0" w:leftChars="0" w:firstLine="420" w:firstLineChars="0"/>
              <w:contextualSpacing/>
              <w:jc w:val="left"/>
              <w:textAlignment w:val="baseline"/>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szCs w:val="24"/>
                <w:highlight w:val="none"/>
                <w:lang w:val="en-US" w:eastAsia="en-US" w:bidi="ar-SA"/>
              </w:rPr>
              <w:t>提供申请单概况看板可以展示区域内今日申请、待处理申请单、今日申请单上传/下载、7日申请单上传/下载，可以图形化显示申请单来源、待处理申请单</w:t>
            </w:r>
            <w:r>
              <w:rPr>
                <w:rFonts w:hint="eastAsia" w:ascii="宋体" w:hAnsi="宋体" w:eastAsia="宋体" w:cs="宋体"/>
                <w:color w:val="auto"/>
                <w:kern w:val="0"/>
                <w:sz w:val="24"/>
                <w:szCs w:val="24"/>
                <w:highlight w:val="none"/>
                <w:lang w:val="en-US" w:eastAsia="zh-CN" w:bidi="ar-SA"/>
              </w:rPr>
              <w:t>。</w:t>
            </w:r>
          </w:p>
        </w:tc>
      </w:tr>
      <w:tr w14:paraId="19902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left w:val="single" w:color="auto" w:sz="4" w:space="0"/>
              <w:right w:val="single" w:color="auto" w:sz="4" w:space="0"/>
            </w:tcBorders>
            <w:vAlign w:val="center"/>
          </w:tcPr>
          <w:p w14:paraId="66092562">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42</w:t>
            </w:r>
          </w:p>
        </w:tc>
        <w:tc>
          <w:tcPr>
            <w:tcW w:w="1365" w:type="dxa"/>
            <w:tcBorders>
              <w:left w:val="nil"/>
              <w:right w:val="single" w:color="auto" w:sz="4" w:space="0"/>
            </w:tcBorders>
            <w:vAlign w:val="center"/>
          </w:tcPr>
          <w:p w14:paraId="0A966595">
            <w:pPr>
              <w:pageBreakBefore w:val="0"/>
              <w:widowControl/>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区域检验信息平台与社区LIS对接</w:t>
            </w:r>
          </w:p>
        </w:tc>
        <w:tc>
          <w:tcPr>
            <w:tcW w:w="7365" w:type="dxa"/>
            <w:tcBorders>
              <w:top w:val="single" w:color="auto" w:sz="4" w:space="0"/>
              <w:left w:val="nil"/>
              <w:bottom w:val="single" w:color="auto" w:sz="4" w:space="0"/>
              <w:right w:val="single" w:color="auto" w:sz="4" w:space="0"/>
            </w:tcBorders>
            <w:vAlign w:val="top"/>
          </w:tcPr>
          <w:p w14:paraId="780BDE6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提供标准接口，支持区域内检验机构和平台对接实现数据交互</w:t>
            </w:r>
            <w:r>
              <w:rPr>
                <w:rFonts w:hint="eastAsia" w:ascii="宋体" w:hAnsi="宋体" w:eastAsia="宋体" w:cs="宋体"/>
                <w:color w:val="auto"/>
                <w:sz w:val="24"/>
                <w:szCs w:val="24"/>
                <w:highlight w:val="none"/>
                <w:lang w:eastAsia="zh-CN"/>
              </w:rPr>
              <w:t>：</w:t>
            </w:r>
          </w:p>
          <w:p w14:paraId="28C4D0F9">
            <w:pPr>
              <w:pageBreakBefore w:val="0"/>
              <w:widowControl/>
              <w:numPr>
                <w:ilvl w:val="0"/>
                <w:numId w:val="0"/>
              </w:numPr>
              <w:kinsoku w:val="0"/>
              <w:wordWrap/>
              <w:overflowPunct w:val="0"/>
              <w:topLinePunct w:val="0"/>
              <w:autoSpaceDE/>
              <w:autoSpaceDN/>
              <w:bidi w:val="0"/>
              <w:snapToGrid/>
              <w:spacing w:beforeAutospacing="0" w:afterAutospacing="0" w:line="300" w:lineRule="auto"/>
              <w:ind w:left="720" w:firstLine="480" w:firstLineChars="200"/>
              <w:contextualSpacing/>
              <w:jc w:val="left"/>
              <w:textAlignment w:val="baseline"/>
              <w:rPr>
                <w:rFonts w:hint="eastAsia" w:ascii="宋体" w:hAnsi="宋体" w:eastAsia="宋体" w:cs="宋体"/>
                <w:color w:val="auto"/>
                <w:kern w:val="0"/>
                <w:sz w:val="24"/>
                <w:szCs w:val="24"/>
                <w:highlight w:val="none"/>
                <w:lang w:val="en-US" w:eastAsia="en-US" w:bidi="ar-SA"/>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en-US" w:bidi="ar-SA"/>
              </w:rPr>
              <w:t>检验申请信息上传：患者信息、检验申请项目信息；</w:t>
            </w:r>
          </w:p>
          <w:p w14:paraId="1E4DC31C">
            <w:pPr>
              <w:pageBreakBefore w:val="0"/>
              <w:widowControl/>
              <w:numPr>
                <w:ilvl w:val="0"/>
                <w:numId w:val="0"/>
              </w:numPr>
              <w:kinsoku w:val="0"/>
              <w:wordWrap/>
              <w:overflowPunct w:val="0"/>
              <w:topLinePunct w:val="0"/>
              <w:autoSpaceDE/>
              <w:autoSpaceDN/>
              <w:bidi w:val="0"/>
              <w:snapToGrid/>
              <w:spacing w:beforeAutospacing="0" w:afterAutospacing="0" w:line="300" w:lineRule="auto"/>
              <w:ind w:left="720" w:firstLine="480" w:firstLineChars="200"/>
              <w:contextualSpacing/>
              <w:jc w:val="left"/>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en-US" w:bidi="ar-SA"/>
              </w:rPr>
              <w:t>检验结果信息下载：检验项目结果数据，PDF报告文件</w:t>
            </w:r>
            <w:r>
              <w:rPr>
                <w:rFonts w:hint="eastAsia" w:ascii="宋体" w:hAnsi="宋体" w:eastAsia="宋体" w:cs="宋体"/>
                <w:color w:val="auto"/>
                <w:kern w:val="0"/>
                <w:sz w:val="24"/>
                <w:szCs w:val="24"/>
                <w:highlight w:val="none"/>
                <w:lang w:val="en-US" w:eastAsia="zh-CN" w:bidi="ar-SA"/>
              </w:rPr>
              <w:t>。</w:t>
            </w:r>
          </w:p>
        </w:tc>
      </w:tr>
      <w:tr w14:paraId="6D017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left w:val="single" w:color="auto" w:sz="4" w:space="0"/>
              <w:right w:val="single" w:color="auto" w:sz="4" w:space="0"/>
            </w:tcBorders>
            <w:vAlign w:val="center"/>
          </w:tcPr>
          <w:p w14:paraId="00CBB85D">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43</w:t>
            </w:r>
          </w:p>
        </w:tc>
        <w:tc>
          <w:tcPr>
            <w:tcW w:w="1365" w:type="dxa"/>
            <w:tcBorders>
              <w:left w:val="nil"/>
              <w:right w:val="single" w:color="auto" w:sz="4" w:space="0"/>
            </w:tcBorders>
            <w:vAlign w:val="center"/>
          </w:tcPr>
          <w:p w14:paraId="64E91651">
            <w:pPr>
              <w:pageBreakBefore w:val="0"/>
              <w:widowControl/>
              <w:wordWrap/>
              <w:topLinePunct w:val="0"/>
              <w:autoSpaceDE/>
              <w:autoSpaceDN/>
              <w:bidi w:val="0"/>
              <w:snapToGrid/>
              <w:spacing w:beforeAutospacing="0" w:afterAutospacing="0" w:line="30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区域检验信息平台信息共享</w:t>
            </w:r>
          </w:p>
        </w:tc>
        <w:tc>
          <w:tcPr>
            <w:tcW w:w="7365" w:type="dxa"/>
            <w:tcBorders>
              <w:top w:val="single" w:color="auto" w:sz="4" w:space="0"/>
              <w:left w:val="nil"/>
              <w:bottom w:val="single" w:color="auto" w:sz="4" w:space="0"/>
              <w:right w:val="single" w:color="auto" w:sz="4" w:space="0"/>
            </w:tcBorders>
            <w:vAlign w:val="top"/>
          </w:tcPr>
          <w:p w14:paraId="6B58B81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检验申请单状态共享查询（已上传、已下载、正在检验、确认报告、未接收、已接收）</w:t>
            </w:r>
            <w:r>
              <w:rPr>
                <w:rFonts w:hint="eastAsia" w:ascii="宋体" w:hAnsi="宋体" w:eastAsia="宋体" w:cs="宋体"/>
                <w:color w:val="auto"/>
                <w:sz w:val="24"/>
                <w:szCs w:val="24"/>
                <w:highlight w:val="none"/>
                <w:lang w:eastAsia="zh-CN"/>
              </w:rPr>
              <w:t>。</w:t>
            </w:r>
          </w:p>
          <w:p w14:paraId="61163A5D">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各个医疗机构可以登录平台查看申请单状</w:t>
            </w:r>
            <w:r>
              <w:rPr>
                <w:rFonts w:hint="eastAsia" w:ascii="宋体" w:hAnsi="宋体" w:eastAsia="宋体" w:cs="宋体"/>
                <w:color w:val="auto"/>
                <w:sz w:val="24"/>
                <w:szCs w:val="24"/>
                <w:highlight w:val="none"/>
                <w:lang w:eastAsia="zh-CN"/>
              </w:rPr>
              <w:t>。</w:t>
            </w:r>
          </w:p>
          <w:p w14:paraId="761BCEEA">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提供报告单概况看板可以展示区域内今日报告单、待处理报告单、今日报告单上传/下载、7日报告单上传/下载，可以图形化显示报告单来源、待处理报告单</w:t>
            </w:r>
            <w:r>
              <w:rPr>
                <w:rFonts w:hint="eastAsia" w:ascii="宋体" w:hAnsi="宋体" w:eastAsia="宋体" w:cs="宋体"/>
                <w:color w:val="auto"/>
                <w:sz w:val="24"/>
                <w:szCs w:val="24"/>
                <w:highlight w:val="none"/>
                <w:lang w:eastAsia="zh-CN"/>
              </w:rPr>
              <w:t>。</w:t>
            </w:r>
          </w:p>
          <w:p w14:paraId="076A2E73">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提供申请单概况看板可以展示区域内今日申请、待处理申请单、今日申请单上传/下载、7日申请单上传/下载，可以图形化显示申请单来源、待处理申请单</w:t>
            </w:r>
            <w:r>
              <w:rPr>
                <w:rFonts w:hint="eastAsia" w:ascii="宋体" w:hAnsi="宋体" w:eastAsia="宋体" w:cs="宋体"/>
                <w:color w:val="auto"/>
                <w:sz w:val="24"/>
                <w:szCs w:val="24"/>
                <w:highlight w:val="none"/>
                <w:lang w:eastAsia="zh-CN"/>
              </w:rPr>
              <w:t>。</w:t>
            </w:r>
          </w:p>
        </w:tc>
      </w:tr>
      <w:tr w14:paraId="59B2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left w:val="single" w:color="auto" w:sz="4" w:space="0"/>
              <w:right w:val="single" w:color="auto" w:sz="4" w:space="0"/>
            </w:tcBorders>
            <w:vAlign w:val="center"/>
          </w:tcPr>
          <w:p w14:paraId="357C3DA2">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44</w:t>
            </w:r>
          </w:p>
        </w:tc>
        <w:tc>
          <w:tcPr>
            <w:tcW w:w="1365" w:type="dxa"/>
            <w:tcBorders>
              <w:left w:val="nil"/>
              <w:right w:val="single" w:color="auto" w:sz="4" w:space="0"/>
            </w:tcBorders>
            <w:vAlign w:val="center"/>
          </w:tcPr>
          <w:p w14:paraId="5A22015A">
            <w:pPr>
              <w:pageBreakBefore w:val="0"/>
              <w:widowControl/>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区域检验信息平台报告共享</w:t>
            </w:r>
          </w:p>
        </w:tc>
        <w:tc>
          <w:tcPr>
            <w:tcW w:w="7365" w:type="dxa"/>
            <w:tcBorders>
              <w:top w:val="single" w:color="auto" w:sz="4" w:space="0"/>
              <w:left w:val="nil"/>
              <w:bottom w:val="single" w:color="auto" w:sz="4" w:space="0"/>
              <w:right w:val="single" w:color="auto" w:sz="4" w:space="0"/>
            </w:tcBorders>
            <w:vAlign w:val="top"/>
          </w:tcPr>
          <w:p w14:paraId="68459590">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各个医疗机构可以登录平台查看检验报告</w:t>
            </w:r>
            <w:r>
              <w:rPr>
                <w:rFonts w:hint="eastAsia" w:ascii="宋体" w:hAnsi="宋体" w:eastAsia="宋体" w:cs="宋体"/>
                <w:color w:val="auto"/>
                <w:sz w:val="24"/>
                <w:szCs w:val="24"/>
                <w:highlight w:val="none"/>
                <w:lang w:eastAsia="zh-CN"/>
              </w:rPr>
              <w:t>。</w:t>
            </w:r>
          </w:p>
          <w:p w14:paraId="38FF4C1F">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支持检验PDF报告预览、打印、下载</w:t>
            </w:r>
            <w:r>
              <w:rPr>
                <w:rFonts w:hint="eastAsia" w:ascii="宋体" w:hAnsi="宋体" w:eastAsia="宋体" w:cs="宋体"/>
                <w:color w:val="auto"/>
                <w:sz w:val="24"/>
                <w:szCs w:val="24"/>
                <w:highlight w:val="none"/>
                <w:lang w:eastAsia="zh-CN"/>
              </w:rPr>
              <w:t>。</w:t>
            </w:r>
          </w:p>
          <w:p w14:paraId="3A6BD7FD">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利用患者主索引查询区域内所有报告</w:t>
            </w:r>
            <w:r>
              <w:rPr>
                <w:rFonts w:hint="eastAsia" w:ascii="宋体" w:hAnsi="宋体" w:eastAsia="宋体" w:cs="宋体"/>
                <w:color w:val="auto"/>
                <w:sz w:val="24"/>
                <w:szCs w:val="24"/>
                <w:highlight w:val="none"/>
                <w:lang w:eastAsia="zh-CN"/>
              </w:rPr>
              <w:t>。</w:t>
            </w:r>
          </w:p>
        </w:tc>
      </w:tr>
      <w:tr w14:paraId="1E6F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left w:val="single" w:color="auto" w:sz="4" w:space="0"/>
              <w:right w:val="single" w:color="auto" w:sz="4" w:space="0"/>
            </w:tcBorders>
            <w:vAlign w:val="center"/>
          </w:tcPr>
          <w:p w14:paraId="68163C10">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45</w:t>
            </w:r>
          </w:p>
        </w:tc>
        <w:tc>
          <w:tcPr>
            <w:tcW w:w="1365" w:type="dxa"/>
            <w:tcBorders>
              <w:left w:val="nil"/>
              <w:right w:val="single" w:color="auto" w:sz="4" w:space="0"/>
            </w:tcBorders>
            <w:vAlign w:val="center"/>
          </w:tcPr>
          <w:p w14:paraId="2006B43F">
            <w:pPr>
              <w:pageBreakBefore w:val="0"/>
              <w:widowControl/>
              <w:wordWrap/>
              <w:topLinePunct w:val="0"/>
              <w:autoSpaceDE/>
              <w:autoSpaceDN/>
              <w:bidi w:val="0"/>
              <w:snapToGrid/>
              <w:spacing w:beforeAutospacing="0" w:afterAutospacing="0" w:line="300" w:lineRule="auto"/>
              <w:ind w:left="0" w:lef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区域检验信息平台统计分析</w:t>
            </w:r>
          </w:p>
        </w:tc>
        <w:tc>
          <w:tcPr>
            <w:tcW w:w="7365" w:type="dxa"/>
            <w:tcBorders>
              <w:top w:val="single" w:color="auto" w:sz="4" w:space="0"/>
              <w:left w:val="nil"/>
              <w:bottom w:val="single" w:color="auto" w:sz="4" w:space="0"/>
              <w:right w:val="single" w:color="auto" w:sz="4" w:space="0"/>
            </w:tcBorders>
            <w:vAlign w:val="top"/>
          </w:tcPr>
          <w:p w14:paraId="0A2EED6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支持对区域内各医疗机构检验数据进行统一分类管理，并对这些数据进行智能分析统计、展示、排序</w:t>
            </w:r>
            <w:r>
              <w:rPr>
                <w:rFonts w:hint="eastAsia" w:ascii="宋体" w:hAnsi="宋体" w:eastAsia="宋体" w:cs="宋体"/>
                <w:color w:val="auto"/>
                <w:sz w:val="24"/>
                <w:szCs w:val="24"/>
                <w:highlight w:val="none"/>
                <w:lang w:eastAsia="zh-CN"/>
              </w:rPr>
              <w:t>。</w:t>
            </w:r>
          </w:p>
          <w:p w14:paraId="0D833F7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支持根据时间、区域、医疗机构、标本类型等查询统计数据</w:t>
            </w:r>
            <w:r>
              <w:rPr>
                <w:rFonts w:hint="eastAsia" w:ascii="宋体" w:hAnsi="宋体" w:eastAsia="宋体" w:cs="宋体"/>
                <w:color w:val="auto"/>
                <w:sz w:val="24"/>
                <w:szCs w:val="24"/>
                <w:highlight w:val="none"/>
                <w:lang w:eastAsia="zh-CN"/>
              </w:rPr>
              <w:t>。</w:t>
            </w:r>
          </w:p>
          <w:p w14:paraId="105B935D">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支持以患者身份信息为主索引关联患者在不同时间段、不同机构进行的检验信息。</w:t>
            </w:r>
          </w:p>
          <w:p w14:paraId="0CC745B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区域医疗机构标本接收单位和送检单位标本量统计</w:t>
            </w:r>
            <w:r>
              <w:rPr>
                <w:rFonts w:hint="eastAsia" w:ascii="宋体" w:hAnsi="宋体" w:eastAsia="宋体" w:cs="宋体"/>
                <w:color w:val="auto"/>
                <w:sz w:val="24"/>
                <w:szCs w:val="24"/>
                <w:highlight w:val="none"/>
                <w:lang w:eastAsia="zh-CN"/>
              </w:rPr>
              <w:t>。</w:t>
            </w:r>
          </w:p>
          <w:p w14:paraId="4D8E5961">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区域医疗机构标本接收单位和送检单位申请项目统计</w:t>
            </w:r>
            <w:r>
              <w:rPr>
                <w:rFonts w:hint="eastAsia" w:ascii="宋体" w:hAnsi="宋体" w:eastAsia="宋体" w:cs="宋体"/>
                <w:color w:val="auto"/>
                <w:sz w:val="24"/>
                <w:szCs w:val="24"/>
                <w:highlight w:val="none"/>
                <w:lang w:eastAsia="zh-CN"/>
              </w:rPr>
              <w:t>。</w:t>
            </w:r>
          </w:p>
          <w:p w14:paraId="6C3D746D">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区域医疗机构标本接收单位和送检单位报告项目统计</w:t>
            </w:r>
            <w:r>
              <w:rPr>
                <w:rFonts w:hint="eastAsia" w:ascii="宋体" w:hAnsi="宋体" w:eastAsia="宋体" w:cs="宋体"/>
                <w:color w:val="auto"/>
                <w:sz w:val="24"/>
                <w:szCs w:val="24"/>
                <w:highlight w:val="none"/>
                <w:lang w:eastAsia="zh-CN"/>
              </w:rPr>
              <w:t>。</w:t>
            </w:r>
          </w:p>
          <w:p w14:paraId="605387AF">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区域医疗机构标本接收单位和送检单位报告数量统计</w:t>
            </w:r>
            <w:r>
              <w:rPr>
                <w:rFonts w:hint="eastAsia" w:ascii="宋体" w:hAnsi="宋体" w:eastAsia="宋体" w:cs="宋体"/>
                <w:color w:val="auto"/>
                <w:sz w:val="24"/>
                <w:szCs w:val="24"/>
                <w:highlight w:val="none"/>
                <w:lang w:eastAsia="zh-CN"/>
              </w:rPr>
              <w:t>。</w:t>
            </w:r>
          </w:p>
          <w:p w14:paraId="53E150FA">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区域医疗机构标本接收单位和送检单位异常项目结果统计</w:t>
            </w:r>
            <w:r>
              <w:rPr>
                <w:rFonts w:hint="eastAsia" w:ascii="宋体" w:hAnsi="宋体" w:eastAsia="宋体" w:cs="宋体"/>
                <w:color w:val="auto"/>
                <w:sz w:val="24"/>
                <w:szCs w:val="24"/>
                <w:highlight w:val="none"/>
                <w:lang w:eastAsia="zh-CN"/>
              </w:rPr>
              <w:t>。</w:t>
            </w:r>
          </w:p>
        </w:tc>
      </w:tr>
      <w:tr w14:paraId="704D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40" w:type="dxa"/>
            <w:tcBorders>
              <w:left w:val="single" w:color="auto" w:sz="4" w:space="0"/>
              <w:right w:val="single" w:color="auto" w:sz="4" w:space="0"/>
            </w:tcBorders>
            <w:vAlign w:val="center"/>
          </w:tcPr>
          <w:p w14:paraId="5714A85B">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46</w:t>
            </w:r>
          </w:p>
        </w:tc>
        <w:tc>
          <w:tcPr>
            <w:tcW w:w="1365" w:type="dxa"/>
            <w:tcBorders>
              <w:left w:val="nil"/>
              <w:right w:val="single" w:color="auto" w:sz="4" w:space="0"/>
            </w:tcBorders>
            <w:vAlign w:val="center"/>
          </w:tcPr>
          <w:p w14:paraId="2648F74C">
            <w:pPr>
              <w:pageBreakBefore w:val="0"/>
              <w:widowControl w:val="0"/>
              <w:wordWrap/>
              <w:topLinePunct w:val="0"/>
              <w:autoSpaceDE/>
              <w:autoSpaceDN/>
              <w:bidi w:val="0"/>
              <w:snapToGrid/>
              <w:spacing w:beforeAutospacing="0" w:afterLines="0" w:afterAutospacing="0" w:line="300" w:lineRule="auto"/>
              <w:ind w:left="0" w:leftChars="0" w:firstLine="0" w:firstLineChars="0"/>
              <w:jc w:val="both"/>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区域检验信息平台</w:t>
            </w:r>
            <w:r>
              <w:rPr>
                <w:rFonts w:hint="eastAsia" w:ascii="宋体" w:hAnsi="宋体" w:eastAsia="宋体" w:cs="宋体"/>
                <w:b/>
                <w:bCs w:val="0"/>
                <w:color w:val="auto"/>
                <w:kern w:val="2"/>
                <w:sz w:val="24"/>
                <w:szCs w:val="24"/>
                <w:highlight w:val="none"/>
                <w:lang w:val="en-US" w:eastAsia="zh-CN" w:bidi="ar-SA"/>
              </w:rPr>
              <w:t>质控分析管理</w:t>
            </w:r>
          </w:p>
        </w:tc>
        <w:tc>
          <w:tcPr>
            <w:tcW w:w="7365" w:type="dxa"/>
            <w:tcBorders>
              <w:top w:val="single" w:color="auto" w:sz="4" w:space="0"/>
              <w:left w:val="nil"/>
              <w:right w:val="single" w:color="auto" w:sz="4" w:space="0"/>
            </w:tcBorders>
            <w:vAlign w:val="top"/>
          </w:tcPr>
          <w:p w14:paraId="3A0C26F1">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质控仪器供应商、试剂供应商、质控品供应商基础数据维护</w:t>
            </w:r>
            <w:r>
              <w:rPr>
                <w:rFonts w:hint="eastAsia" w:ascii="宋体" w:hAnsi="宋体" w:eastAsia="宋体" w:cs="宋体"/>
                <w:color w:val="auto"/>
                <w:sz w:val="24"/>
                <w:szCs w:val="24"/>
                <w:highlight w:val="none"/>
                <w:lang w:eastAsia="zh-CN"/>
              </w:rPr>
              <w:t>。</w:t>
            </w:r>
          </w:p>
          <w:p w14:paraId="59520AB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支持各个医疗机构质控仪器数据上传</w:t>
            </w:r>
            <w:r>
              <w:rPr>
                <w:rFonts w:hint="eastAsia" w:ascii="宋体" w:hAnsi="宋体" w:eastAsia="宋体" w:cs="宋体"/>
                <w:color w:val="auto"/>
                <w:sz w:val="24"/>
                <w:szCs w:val="24"/>
                <w:highlight w:val="none"/>
                <w:lang w:eastAsia="zh-CN"/>
              </w:rPr>
              <w:t>。</w:t>
            </w:r>
          </w:p>
          <w:p w14:paraId="77D4C4A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支持各个医疗机构质控品数据上传</w:t>
            </w:r>
            <w:r>
              <w:rPr>
                <w:rFonts w:hint="eastAsia" w:ascii="宋体" w:hAnsi="宋体" w:eastAsia="宋体" w:cs="宋体"/>
                <w:color w:val="auto"/>
                <w:sz w:val="24"/>
                <w:szCs w:val="24"/>
                <w:highlight w:val="none"/>
                <w:lang w:eastAsia="zh-CN"/>
              </w:rPr>
              <w:t>。</w:t>
            </w:r>
          </w:p>
          <w:p w14:paraId="4A3CAD6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支持各个医疗机构质控数据上传</w:t>
            </w:r>
            <w:r>
              <w:rPr>
                <w:rFonts w:hint="eastAsia" w:ascii="宋体" w:hAnsi="宋体" w:eastAsia="宋体" w:cs="宋体"/>
                <w:color w:val="auto"/>
                <w:sz w:val="24"/>
                <w:szCs w:val="24"/>
                <w:highlight w:val="none"/>
                <w:lang w:eastAsia="zh-CN"/>
              </w:rPr>
              <w:t>。</w:t>
            </w:r>
          </w:p>
          <w:p w14:paraId="435E881B">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支持各个医疗质控仪器、试剂、质控品与平台基础数据对照</w:t>
            </w:r>
            <w:r>
              <w:rPr>
                <w:rFonts w:hint="eastAsia" w:ascii="宋体" w:hAnsi="宋体" w:eastAsia="宋体" w:cs="宋体"/>
                <w:color w:val="auto"/>
                <w:sz w:val="24"/>
                <w:szCs w:val="24"/>
                <w:highlight w:val="none"/>
                <w:lang w:eastAsia="zh-CN"/>
              </w:rPr>
              <w:t>。</w:t>
            </w:r>
          </w:p>
          <w:p w14:paraId="3438ECDD">
            <w:pPr>
              <w:pageBreakBefore w:val="0"/>
              <w:kinsoku w:val="0"/>
              <w:wordWrap/>
              <w:overflowPunct w:val="0"/>
              <w:topLinePunct w:val="0"/>
              <w:autoSpaceDE/>
              <w:autoSpaceDN/>
              <w:bidi w:val="0"/>
              <w:snapToGrid/>
              <w:spacing w:beforeAutospacing="0" w:afterAutospacing="0" w:line="300" w:lineRule="auto"/>
              <w:ind w:left="0" w:leftChars="0" w:firstLine="482" w:firstLineChars="200"/>
              <w:jc w:val="left"/>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strike w:val="0"/>
                <w:dstrike w:val="0"/>
                <w:color w:val="auto"/>
                <w:kern w:val="0"/>
                <w:sz w:val="24"/>
                <w:szCs w:val="24"/>
                <w:highlight w:val="none"/>
              </w:rPr>
              <w:t>▲</w:t>
            </w:r>
            <w:r>
              <w:rPr>
                <w:rFonts w:hint="eastAsia" w:ascii="宋体" w:hAnsi="宋体" w:eastAsia="宋体" w:cs="宋体"/>
                <w:color w:val="auto"/>
                <w:sz w:val="24"/>
                <w:szCs w:val="24"/>
                <w:highlight w:val="none"/>
              </w:rPr>
              <w:t>提供质控数据展示支持按月或者按日展示所有医疗机构质控情况包括各个医疗机构仪器数、项目数、质控结果数、失控数，支持下钻显示单个医疗机构质控情况，单个仪器质控情况，具体到单个项目可以显示对应项目的Z分数图、L-J图</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sz w:val="24"/>
                <w:szCs w:val="24"/>
                <w:highlight w:val="none"/>
              </w:rPr>
              <w:t>需提供系统功能截图）</w:t>
            </w:r>
          </w:p>
          <w:p w14:paraId="418DF200">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支持质控数据比对选择质控项目可以显示质控数据统计对比，绘制质控累计频数分布直方图</w:t>
            </w:r>
            <w:r>
              <w:rPr>
                <w:rFonts w:hint="eastAsia" w:ascii="宋体" w:hAnsi="宋体" w:eastAsia="宋体" w:cs="宋体"/>
                <w:color w:val="auto"/>
                <w:sz w:val="24"/>
                <w:szCs w:val="24"/>
                <w:highlight w:val="none"/>
                <w:lang w:eastAsia="zh-CN"/>
              </w:rPr>
              <w:t>。</w:t>
            </w:r>
          </w:p>
          <w:p w14:paraId="32C6EE96">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支持质控数据多种条件查询统计、月报表</w:t>
            </w:r>
            <w:r>
              <w:rPr>
                <w:rFonts w:hint="eastAsia" w:ascii="宋体" w:hAnsi="宋体" w:eastAsia="宋体" w:cs="宋体"/>
                <w:color w:val="auto"/>
                <w:sz w:val="24"/>
                <w:szCs w:val="24"/>
                <w:highlight w:val="none"/>
                <w:lang w:eastAsia="zh-CN"/>
              </w:rPr>
              <w:t>。</w:t>
            </w:r>
          </w:p>
        </w:tc>
      </w:tr>
      <w:tr w14:paraId="053E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40" w:type="dxa"/>
            <w:tcBorders>
              <w:left w:val="single" w:color="auto" w:sz="4" w:space="0"/>
              <w:right w:val="single" w:color="auto" w:sz="4" w:space="0"/>
            </w:tcBorders>
            <w:vAlign w:val="center"/>
          </w:tcPr>
          <w:p w14:paraId="7E40BB6E">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47</w:t>
            </w:r>
          </w:p>
        </w:tc>
        <w:tc>
          <w:tcPr>
            <w:tcW w:w="1365" w:type="dxa"/>
            <w:tcBorders>
              <w:left w:val="nil"/>
              <w:right w:val="single" w:color="auto" w:sz="4" w:space="0"/>
            </w:tcBorders>
            <w:vAlign w:val="center"/>
          </w:tcPr>
          <w:p w14:paraId="1445169B">
            <w:pPr>
              <w:pageBreakBefore w:val="0"/>
              <w:widowControl w:val="0"/>
              <w:wordWrap/>
              <w:topLinePunct w:val="0"/>
              <w:autoSpaceDE/>
              <w:autoSpaceDN/>
              <w:bidi w:val="0"/>
              <w:snapToGrid/>
              <w:spacing w:beforeAutospacing="0" w:afterLines="0" w:afterAutospacing="0" w:line="300" w:lineRule="auto"/>
              <w:ind w:left="0" w:leftChars="0" w:firstLine="0" w:firstLineChars="0"/>
              <w:jc w:val="both"/>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区域检验信息平台</w:t>
            </w:r>
            <w:r>
              <w:rPr>
                <w:rFonts w:hint="eastAsia" w:ascii="宋体" w:hAnsi="宋体" w:eastAsia="宋体" w:cs="宋体"/>
                <w:b/>
                <w:bCs w:val="0"/>
                <w:color w:val="auto"/>
                <w:kern w:val="2"/>
                <w:sz w:val="24"/>
                <w:szCs w:val="24"/>
                <w:highlight w:val="none"/>
                <w:lang w:val="en-US" w:eastAsia="zh-CN" w:bidi="ar-SA"/>
              </w:rPr>
              <w:t>危急值分析管理</w:t>
            </w:r>
          </w:p>
        </w:tc>
        <w:tc>
          <w:tcPr>
            <w:tcW w:w="7365" w:type="dxa"/>
            <w:tcBorders>
              <w:top w:val="single" w:color="auto" w:sz="4" w:space="0"/>
              <w:left w:val="nil"/>
              <w:right w:val="single" w:color="auto" w:sz="4" w:space="0"/>
            </w:tcBorders>
            <w:vAlign w:val="top"/>
          </w:tcPr>
          <w:p w14:paraId="540A8234">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支持各个医疗机构危急值上传、下载</w:t>
            </w:r>
            <w:r>
              <w:rPr>
                <w:rFonts w:hint="eastAsia" w:ascii="宋体" w:hAnsi="宋体" w:eastAsia="宋体" w:cs="宋体"/>
                <w:color w:val="auto"/>
                <w:sz w:val="24"/>
                <w:szCs w:val="24"/>
                <w:highlight w:val="none"/>
                <w:lang w:eastAsia="zh-CN"/>
              </w:rPr>
              <w:t>。</w:t>
            </w:r>
          </w:p>
          <w:p w14:paraId="180B14E8">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支持危急值预警提醒</w:t>
            </w:r>
            <w:r>
              <w:rPr>
                <w:rFonts w:hint="eastAsia" w:ascii="宋体" w:hAnsi="宋体" w:eastAsia="宋体" w:cs="宋体"/>
                <w:color w:val="auto"/>
                <w:sz w:val="24"/>
                <w:szCs w:val="24"/>
                <w:highlight w:val="none"/>
                <w:lang w:eastAsia="zh-CN"/>
              </w:rPr>
              <w:t>。</w:t>
            </w:r>
          </w:p>
          <w:p w14:paraId="147B9A7C">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支持危急值查询、统计</w:t>
            </w:r>
            <w:r>
              <w:rPr>
                <w:rFonts w:hint="eastAsia" w:ascii="宋体" w:hAnsi="宋体" w:eastAsia="宋体" w:cs="宋体"/>
                <w:color w:val="auto"/>
                <w:sz w:val="24"/>
                <w:szCs w:val="24"/>
                <w:highlight w:val="none"/>
                <w:lang w:eastAsia="zh-CN"/>
              </w:rPr>
              <w:t>。</w:t>
            </w:r>
          </w:p>
        </w:tc>
      </w:tr>
      <w:tr w14:paraId="6A8E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738D7F34">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48</w:t>
            </w:r>
          </w:p>
        </w:tc>
        <w:tc>
          <w:tcPr>
            <w:tcW w:w="1365" w:type="dxa"/>
            <w:tcBorders>
              <w:left w:val="nil"/>
              <w:right w:val="single" w:color="auto" w:sz="4" w:space="0"/>
            </w:tcBorders>
            <w:vAlign w:val="center"/>
          </w:tcPr>
          <w:p w14:paraId="56F3BEA7">
            <w:pPr>
              <w:pageBreakBefore w:val="0"/>
              <w:widowControl w:val="0"/>
              <w:wordWrap/>
              <w:topLinePunct w:val="0"/>
              <w:autoSpaceDE/>
              <w:autoSpaceDN/>
              <w:bidi w:val="0"/>
              <w:snapToGrid/>
              <w:spacing w:beforeAutospacing="0" w:afterLines="0" w:afterAutospacing="0" w:line="300" w:lineRule="auto"/>
              <w:ind w:left="0" w:leftChars="0" w:firstLine="0" w:firstLineChars="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区域检验信息平台接口管理</w:t>
            </w:r>
          </w:p>
        </w:tc>
        <w:tc>
          <w:tcPr>
            <w:tcW w:w="7365" w:type="dxa"/>
            <w:tcBorders>
              <w:top w:val="single" w:color="auto" w:sz="4" w:space="0"/>
              <w:left w:val="nil"/>
              <w:bottom w:val="single" w:color="auto" w:sz="4" w:space="0"/>
              <w:right w:val="single" w:color="auto" w:sz="4" w:space="0"/>
            </w:tcBorders>
            <w:vAlign w:val="top"/>
          </w:tcPr>
          <w:p w14:paraId="1FD3708E">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接口数据交互支持国密加密数据传输</w:t>
            </w:r>
            <w:r>
              <w:rPr>
                <w:rFonts w:hint="eastAsia" w:ascii="宋体" w:hAnsi="宋体" w:eastAsia="宋体" w:cs="宋体"/>
                <w:color w:val="auto"/>
                <w:sz w:val="24"/>
                <w:szCs w:val="24"/>
                <w:highlight w:val="none"/>
                <w:lang w:eastAsia="zh-CN"/>
              </w:rPr>
              <w:t>。</w:t>
            </w:r>
          </w:p>
          <w:p w14:paraId="08600133">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支持接口字典管理，平台接口菜单提供接口方法说明和接口入参示例响应示例</w:t>
            </w:r>
            <w:r>
              <w:rPr>
                <w:rFonts w:hint="eastAsia" w:ascii="宋体" w:hAnsi="宋体" w:eastAsia="宋体" w:cs="宋体"/>
                <w:color w:val="auto"/>
                <w:sz w:val="24"/>
                <w:szCs w:val="24"/>
                <w:highlight w:val="none"/>
                <w:lang w:eastAsia="zh-CN"/>
              </w:rPr>
              <w:t>。</w:t>
            </w:r>
          </w:p>
          <w:p w14:paraId="4C7B8DF4">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提供接口运行情况看板可以展示请求总数、错误请求、申请单上传/下载、报告单上传/下载，图形化展示各个医疗机构申请单上传、送检申请单、送检报告单平台接口交互情况</w:t>
            </w:r>
            <w:r>
              <w:rPr>
                <w:rFonts w:hint="eastAsia" w:ascii="宋体" w:hAnsi="宋体" w:eastAsia="宋体" w:cs="宋体"/>
                <w:color w:val="auto"/>
                <w:sz w:val="24"/>
                <w:szCs w:val="24"/>
                <w:highlight w:val="none"/>
                <w:lang w:eastAsia="zh-CN"/>
              </w:rPr>
              <w:t>。</w:t>
            </w:r>
          </w:p>
          <w:p w14:paraId="3948317D">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bCs/>
                <w:iCs/>
                <w:color w:val="auto"/>
                <w:sz w:val="24"/>
                <w:szCs w:val="24"/>
                <w:highlight w:val="none"/>
              </w:rPr>
              <w:t>提供接口请求记录、错误请求记录、接口请求统计、接口任务查询菜单和功能</w:t>
            </w:r>
            <w:r>
              <w:rPr>
                <w:rFonts w:hint="eastAsia" w:ascii="宋体" w:hAnsi="宋体" w:eastAsia="宋体" w:cs="宋体"/>
                <w:bCs/>
                <w:iCs/>
                <w:color w:val="auto"/>
                <w:sz w:val="24"/>
                <w:szCs w:val="24"/>
                <w:highlight w:val="none"/>
                <w:lang w:eastAsia="zh-CN"/>
              </w:rPr>
              <w:t>。</w:t>
            </w:r>
          </w:p>
        </w:tc>
      </w:tr>
      <w:tr w14:paraId="318E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40" w:type="dxa"/>
            <w:tcBorders>
              <w:top w:val="single" w:color="auto" w:sz="4" w:space="0"/>
              <w:left w:val="single" w:color="auto" w:sz="4" w:space="0"/>
              <w:bottom w:val="single" w:color="auto" w:sz="4" w:space="0"/>
              <w:right w:val="single" w:color="auto" w:sz="4" w:space="0"/>
            </w:tcBorders>
            <w:vAlign w:val="center"/>
          </w:tcPr>
          <w:p w14:paraId="46BF7C44">
            <w:pPr>
              <w:pageBreakBefore w:val="0"/>
              <w:widowControl/>
              <w:numPr>
                <w:ilvl w:val="0"/>
                <w:numId w:val="0"/>
              </w:numPr>
              <w:wordWrap/>
              <w:topLinePunct w:val="0"/>
              <w:autoSpaceDE/>
              <w:autoSpaceDN/>
              <w:bidi w:val="0"/>
              <w:snapToGrid/>
              <w:spacing w:beforeAutospacing="0" w:afterAutospacing="0" w:line="300" w:lineRule="auto"/>
              <w:ind w:left="720" w:leftChars="0"/>
              <w:contextualSpacing/>
              <w:jc w:val="center"/>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49</w:t>
            </w:r>
          </w:p>
        </w:tc>
        <w:tc>
          <w:tcPr>
            <w:tcW w:w="1365" w:type="dxa"/>
            <w:tcBorders>
              <w:left w:val="nil"/>
              <w:right w:val="single" w:color="auto" w:sz="4" w:space="0"/>
            </w:tcBorders>
            <w:vAlign w:val="center"/>
          </w:tcPr>
          <w:p w14:paraId="2100F0FE">
            <w:pPr>
              <w:pageBreakBefore w:val="0"/>
              <w:widowControl w:val="0"/>
              <w:wordWrap/>
              <w:topLinePunct w:val="0"/>
              <w:autoSpaceDE/>
              <w:autoSpaceDN/>
              <w:bidi w:val="0"/>
              <w:snapToGrid/>
              <w:spacing w:beforeAutospacing="0" w:afterLines="0" w:afterAutospacing="0" w:line="300" w:lineRule="auto"/>
              <w:ind w:left="0" w:leftChars="0" w:firstLine="0" w:firstLineChars="0"/>
              <w:jc w:val="both"/>
              <w:rPr>
                <w:rStyle w:val="22"/>
                <w:rFonts w:hint="eastAsia" w:ascii="宋体" w:hAnsi="宋体" w:eastAsia="宋体" w:cs="宋体"/>
                <w:bCs w:val="0"/>
                <w:color w:val="auto"/>
                <w:kern w:val="2"/>
                <w:sz w:val="24"/>
                <w:szCs w:val="24"/>
                <w:highlight w:val="none"/>
                <w:lang w:val="en-US" w:eastAsia="zh-CN" w:bidi="ar-SA"/>
              </w:rPr>
            </w:pPr>
            <w:r>
              <w:rPr>
                <w:rStyle w:val="22"/>
                <w:rFonts w:hint="eastAsia" w:ascii="宋体" w:hAnsi="宋体" w:eastAsia="宋体" w:cs="宋体"/>
                <w:bCs w:val="0"/>
                <w:color w:val="auto"/>
                <w:kern w:val="2"/>
                <w:sz w:val="24"/>
                <w:szCs w:val="24"/>
                <w:highlight w:val="none"/>
                <w:lang w:val="en-US" w:eastAsia="zh-CN" w:bidi="ar-SA"/>
              </w:rPr>
              <w:t>区域检验智慧大屏</w:t>
            </w:r>
          </w:p>
        </w:tc>
        <w:tc>
          <w:tcPr>
            <w:tcW w:w="7365" w:type="dxa"/>
            <w:tcBorders>
              <w:top w:val="single" w:color="auto" w:sz="4" w:space="0"/>
              <w:left w:val="nil"/>
              <w:bottom w:val="single" w:color="auto" w:sz="4" w:space="0"/>
              <w:right w:val="single" w:color="auto" w:sz="4" w:space="0"/>
            </w:tcBorders>
            <w:vAlign w:val="top"/>
          </w:tcPr>
          <w:p w14:paraId="78812292">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通过数据可视化借助与图形化手段清晰有效地传达与展示区域内的检验信息和检验质量指标助力智能高效决策包括</w:t>
            </w:r>
            <w:r>
              <w:rPr>
                <w:rFonts w:hint="eastAsia" w:ascii="宋体" w:hAnsi="宋体" w:eastAsia="宋体" w:cs="宋体"/>
                <w:color w:val="auto"/>
                <w:sz w:val="24"/>
                <w:szCs w:val="24"/>
                <w:highlight w:val="none"/>
                <w:lang w:eastAsia="zh-CN"/>
              </w:rPr>
              <w:t>。</w:t>
            </w:r>
          </w:p>
          <w:p w14:paraId="284B3326">
            <w:pPr>
              <w:pageBreakBefore w:val="0"/>
              <w:kinsoku w:val="0"/>
              <w:wordWrap/>
              <w:overflowPunct w:val="0"/>
              <w:topLinePunct w:val="0"/>
              <w:autoSpaceDE/>
              <w:autoSpaceDN/>
              <w:bidi w:val="0"/>
              <w:snapToGrid/>
              <w:spacing w:beforeAutospacing="0" w:afterAutospacing="0" w:line="300" w:lineRule="auto"/>
              <w:ind w:left="0" w:leftChars="0" w:firstLine="482" w:firstLineChars="200"/>
              <w:jc w:val="left"/>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strike w:val="0"/>
                <w:dstrike w:val="0"/>
                <w:color w:val="auto"/>
                <w:kern w:val="0"/>
                <w:sz w:val="24"/>
                <w:szCs w:val="24"/>
                <w:highlight w:val="none"/>
              </w:rPr>
              <w:t>▲</w:t>
            </w:r>
            <w:r>
              <w:rPr>
                <w:rFonts w:hint="eastAsia" w:ascii="宋体" w:hAnsi="宋体" w:eastAsia="宋体" w:cs="宋体"/>
                <w:color w:val="auto"/>
                <w:sz w:val="24"/>
                <w:szCs w:val="24"/>
                <w:highlight w:val="none"/>
              </w:rPr>
              <w:t>可视化地图：支持地图化展示区域内医疗机构情况，在地图上点击相应地址可以展示该医疗机构具体的标本和质控情况。</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lang w:val="en-US" w:eastAsia="zh-CN"/>
              </w:rPr>
              <w:t>投标时</w:t>
            </w:r>
            <w:r>
              <w:rPr>
                <w:rFonts w:hint="eastAsia" w:ascii="宋体" w:hAnsi="宋体" w:eastAsia="宋体" w:cs="宋体"/>
                <w:b/>
                <w:bCs/>
                <w:color w:val="auto"/>
                <w:sz w:val="24"/>
                <w:szCs w:val="24"/>
                <w:highlight w:val="none"/>
                <w:lang w:val="en-US" w:eastAsia="zh-CN"/>
              </w:rPr>
              <w:t>需提供系统功能截图</w:t>
            </w:r>
            <w:r>
              <w:rPr>
                <w:rFonts w:hint="eastAsia" w:ascii="宋体" w:hAnsi="宋体" w:eastAsia="宋体" w:cs="宋体"/>
                <w:b/>
                <w:bCs/>
                <w:color w:val="auto"/>
                <w:sz w:val="24"/>
                <w:szCs w:val="24"/>
                <w:highlight w:val="none"/>
                <w:lang w:eastAsia="zh-CN"/>
              </w:rPr>
              <w:t>）</w:t>
            </w:r>
          </w:p>
          <w:p w14:paraId="578D3834">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区域检验中心营运情况：今日送检标本数、镇（社区）送检数、村（站）送检数、镇（社区）送检报告数、村（站）送检报告数</w:t>
            </w:r>
            <w:r>
              <w:rPr>
                <w:rFonts w:hint="eastAsia" w:ascii="宋体" w:hAnsi="宋体" w:eastAsia="宋体" w:cs="宋体"/>
                <w:color w:val="auto"/>
                <w:sz w:val="24"/>
                <w:szCs w:val="24"/>
                <w:highlight w:val="none"/>
                <w:lang w:eastAsia="zh-CN"/>
              </w:rPr>
              <w:t>。</w:t>
            </w:r>
          </w:p>
          <w:p w14:paraId="4C8FB5E0">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支持图形化展示区域内流感检验等传染病的检测数据情况</w:t>
            </w:r>
            <w:r>
              <w:rPr>
                <w:rFonts w:hint="eastAsia" w:ascii="宋体" w:hAnsi="宋体" w:eastAsia="宋体" w:cs="宋体"/>
                <w:color w:val="auto"/>
                <w:sz w:val="24"/>
                <w:szCs w:val="24"/>
                <w:highlight w:val="none"/>
                <w:lang w:eastAsia="zh-CN"/>
              </w:rPr>
              <w:t>。</w:t>
            </w:r>
          </w:p>
          <w:p w14:paraId="53657B57">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质控信息展示：可展示送检机构质控项目数、失控数、失控率。各个医疗机构质控测试数、失控数、失控率</w:t>
            </w:r>
            <w:r>
              <w:rPr>
                <w:rFonts w:hint="eastAsia" w:ascii="宋体" w:hAnsi="宋体" w:eastAsia="宋体" w:cs="宋体"/>
                <w:color w:val="auto"/>
                <w:sz w:val="24"/>
                <w:szCs w:val="24"/>
                <w:highlight w:val="none"/>
                <w:lang w:eastAsia="zh-CN"/>
              </w:rPr>
              <w:t>。</w:t>
            </w:r>
          </w:p>
          <w:p w14:paraId="33731BEF">
            <w:pPr>
              <w:pageBreakBefore w:val="0"/>
              <w:kinsoku w:val="0"/>
              <w:wordWrap/>
              <w:overflowPunct w:val="0"/>
              <w:topLinePunct w:val="0"/>
              <w:autoSpaceDE/>
              <w:autoSpaceDN/>
              <w:bidi w:val="0"/>
              <w:snapToGrid/>
              <w:spacing w:beforeAutospacing="0" w:afterAutospacing="0" w:line="300" w:lineRule="auto"/>
              <w:ind w:left="0" w:leftChars="0" w:firstLine="480" w:firstLineChars="200"/>
              <w:jc w:val="left"/>
              <w:textAlignment w:val="baseline"/>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支持屏幕上数据点击可以显示详细的数据内容和信息</w:t>
            </w:r>
            <w:r>
              <w:rPr>
                <w:rFonts w:hint="eastAsia" w:ascii="宋体" w:hAnsi="宋体" w:eastAsia="宋体" w:cs="宋体"/>
                <w:color w:val="auto"/>
                <w:sz w:val="24"/>
                <w:szCs w:val="24"/>
                <w:highlight w:val="none"/>
                <w:lang w:eastAsia="zh-CN"/>
              </w:rPr>
              <w:t>。</w:t>
            </w:r>
          </w:p>
        </w:tc>
      </w:tr>
    </w:tbl>
    <w:p w14:paraId="7BC006BC">
      <w:pPr>
        <w:wordWrap/>
        <w:topLinePunct w:val="0"/>
        <w:bidi w:val="0"/>
        <w:spacing w:line="300" w:lineRule="auto"/>
        <w:jc w:val="left"/>
        <w:outlineLvl w:val="0"/>
        <w:rPr>
          <w:rFonts w:hint="default" w:ascii="Times New Roman" w:hAnsi="Times New Roman" w:eastAsia="宋体" w:cs="Times New Roman"/>
          <w:b/>
          <w:bCs/>
          <w:color w:val="auto"/>
          <w:sz w:val="24"/>
          <w:szCs w:val="24"/>
          <w:highlight w:val="none"/>
          <w:lang w:val="en-US" w:eastAsia="zh-CN"/>
        </w:rPr>
      </w:pPr>
    </w:p>
    <w:p w14:paraId="790DF87D">
      <w:pPr>
        <w:wordWrap/>
        <w:topLinePunct w:val="0"/>
        <w:bidi w:val="0"/>
        <w:spacing w:line="300" w:lineRule="auto"/>
        <w:ind w:firstLine="482" w:firstLineChars="200"/>
        <w:jc w:val="left"/>
        <w:outlineLvl w:val="0"/>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sz w:val="24"/>
          <w:szCs w:val="24"/>
          <w:highlight w:val="none"/>
          <w:lang w:val="en-US" w:eastAsia="zh-CN"/>
        </w:rPr>
        <w:t>输血质量管理系统技术参数：</w:t>
      </w:r>
    </w:p>
    <w:tbl>
      <w:tblPr>
        <w:tblStyle w:val="20"/>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845"/>
        <w:gridCol w:w="6973"/>
      </w:tblGrid>
      <w:tr w14:paraId="7220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20" w:type="dxa"/>
            <w:vAlign w:val="center"/>
          </w:tcPr>
          <w:p w14:paraId="7EB1DBB5">
            <w:pPr>
              <w:keepNext w:val="0"/>
              <w:keepLines w:val="0"/>
              <w:pageBreakBefore w:val="0"/>
              <w:widowControl w:val="0"/>
              <w:kinsoku/>
              <w:wordWrap/>
              <w:overflowPunct/>
              <w:topLinePunct w:val="0"/>
              <w:autoSpaceDE/>
              <w:autoSpaceDN/>
              <w:bidi w:val="0"/>
              <w:snapToGrid/>
              <w:spacing w:beforeAutospacing="0" w:afterAutospacing="0" w:line="30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bookmarkStart w:id="229" w:name="_Toc81581262"/>
            <w:r>
              <w:rPr>
                <w:rFonts w:hint="eastAsia" w:ascii="宋体" w:hAnsi="宋体" w:eastAsia="宋体" w:cs="宋体"/>
                <w:b/>
                <w:bCs/>
                <w:color w:val="auto"/>
                <w:kern w:val="2"/>
                <w:sz w:val="24"/>
                <w:szCs w:val="24"/>
                <w:highlight w:val="none"/>
                <w:lang w:val="en-US" w:eastAsia="zh-CN" w:bidi="ar-SA"/>
              </w:rPr>
              <w:t>模块</w:t>
            </w:r>
          </w:p>
        </w:tc>
        <w:tc>
          <w:tcPr>
            <w:tcW w:w="1845" w:type="dxa"/>
            <w:vAlign w:val="center"/>
          </w:tcPr>
          <w:p w14:paraId="1C0BFD33">
            <w:pPr>
              <w:keepNext w:val="0"/>
              <w:keepLines w:val="0"/>
              <w:pageBreakBefore w:val="0"/>
              <w:widowControl w:val="0"/>
              <w:kinsoku/>
              <w:wordWrap/>
              <w:overflowPunct/>
              <w:topLinePunct w:val="0"/>
              <w:autoSpaceDE/>
              <w:autoSpaceDN/>
              <w:bidi w:val="0"/>
              <w:snapToGrid/>
              <w:spacing w:beforeAutospacing="0" w:afterAutospacing="0" w:line="30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功能</w:t>
            </w:r>
          </w:p>
        </w:tc>
        <w:tc>
          <w:tcPr>
            <w:tcW w:w="6973" w:type="dxa"/>
            <w:vAlign w:val="center"/>
          </w:tcPr>
          <w:p w14:paraId="4B09B916">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技术参数</w:t>
            </w:r>
          </w:p>
        </w:tc>
      </w:tr>
      <w:tr w14:paraId="7BBD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Align w:val="center"/>
          </w:tcPr>
          <w:p w14:paraId="77553B08">
            <w:pPr>
              <w:keepNext w:val="0"/>
              <w:keepLines w:val="0"/>
              <w:pageBreakBefore w:val="0"/>
              <w:widowControl w:val="0"/>
              <w:kinsoku/>
              <w:wordWrap/>
              <w:overflowPunct/>
              <w:topLinePunct w:val="0"/>
              <w:autoSpaceDE/>
              <w:autoSpaceDN/>
              <w:bidi w:val="0"/>
              <w:snapToGrid/>
              <w:spacing w:beforeAutospacing="0" w:afterAutospacing="0" w:line="30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50．输血系统</w:t>
            </w:r>
          </w:p>
        </w:tc>
        <w:tc>
          <w:tcPr>
            <w:tcW w:w="1845" w:type="dxa"/>
            <w:vAlign w:val="center"/>
          </w:tcPr>
          <w:p w14:paraId="22467DEC">
            <w:pPr>
              <w:keepNext w:val="0"/>
              <w:keepLines w:val="0"/>
              <w:pageBreakBefore w:val="0"/>
              <w:widowControl w:val="0"/>
              <w:kinsoku/>
              <w:wordWrap/>
              <w:overflowPunct/>
              <w:topLinePunct w:val="0"/>
              <w:autoSpaceDE/>
              <w:autoSpaceDN/>
              <w:bidi w:val="0"/>
              <w:snapToGrid/>
              <w:spacing w:beforeAutospacing="0" w:afterAutospacing="0" w:line="30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总体要求</w:t>
            </w:r>
          </w:p>
        </w:tc>
        <w:tc>
          <w:tcPr>
            <w:tcW w:w="6973" w:type="dxa"/>
            <w:vAlign w:val="top"/>
          </w:tcPr>
          <w:p w14:paraId="2729F661">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全B/S三层架构</w:t>
            </w:r>
          </w:p>
          <w:p w14:paraId="555CEFB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采用全BS的三层架构体系，系统引入现代Web技术架构，全面兼容多种数据库，支持跨平台、云部署，符合国密和三级等保安全相关技术要求。</w:t>
            </w:r>
          </w:p>
          <w:p w14:paraId="08C98E48">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全流程闭环设计</w:t>
            </w:r>
          </w:p>
          <w:p w14:paraId="08BD4E9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质量管理系统以用血申请单为主线，实现临床医生用血申请、临床医生用血审批、临床护士用血执行、临床护士用血确认、临床护士用血反馈等流程管理信息化；以血标本为主线，实现标本管理信息化；以血袋为主线，实现血制品流转、使用、回收、销毁、报废等信息化； 最终实现用血质量评价信息化和输血闭环管理</w:t>
            </w:r>
            <w:r>
              <w:rPr>
                <w:rFonts w:hint="eastAsia" w:ascii="宋体" w:hAnsi="宋体" w:eastAsia="宋体" w:cs="宋体"/>
                <w:bCs/>
                <w:color w:val="auto"/>
                <w:kern w:val="0"/>
                <w:sz w:val="24"/>
                <w:szCs w:val="24"/>
                <w:highlight w:val="none"/>
                <w:lang w:eastAsia="zh-CN"/>
              </w:rPr>
              <w:t>。</w:t>
            </w:r>
          </w:p>
          <w:p w14:paraId="59F52B1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多场景闭环管理</w:t>
            </w:r>
          </w:p>
          <w:p w14:paraId="2B73214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输血质量管理有独立的输血科工作站、医生工作站、护士工作站、手术室工作站、医务部工作站，实现输血多个场景的信息化，通过多个部门场景信息化的紧密衔接和任务智能提醒，完成多场景闭环管理</w:t>
            </w:r>
            <w:r>
              <w:rPr>
                <w:rFonts w:hint="eastAsia" w:ascii="宋体" w:hAnsi="宋体" w:eastAsia="宋体" w:cs="宋体"/>
                <w:bCs/>
                <w:color w:val="auto"/>
                <w:kern w:val="0"/>
                <w:sz w:val="24"/>
                <w:szCs w:val="24"/>
                <w:highlight w:val="none"/>
                <w:lang w:eastAsia="zh-CN"/>
              </w:rPr>
              <w:t>。</w:t>
            </w:r>
          </w:p>
          <w:p w14:paraId="4F7B443B">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模块化结构设计，定制化业务流程</w:t>
            </w:r>
          </w:p>
          <w:p w14:paraId="4397999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输血质量管理采用最新的模块化设计，实现根据医院实际情况输血软件定制化业务流程。（备血、用血、紧急、自体、异型）不同的输血申请种类可以自定义业务流程 （知情同意书、输血前评估、输血申请、临床审核、输血科审核、医务科审核、申请单发送、交叉配血、输血记录与反馈、输血后评价）</w:t>
            </w:r>
            <w:r>
              <w:rPr>
                <w:rFonts w:hint="eastAsia" w:ascii="宋体" w:hAnsi="宋体" w:eastAsia="宋体" w:cs="宋体"/>
                <w:bCs/>
                <w:color w:val="auto"/>
                <w:kern w:val="0"/>
                <w:sz w:val="24"/>
                <w:szCs w:val="24"/>
                <w:highlight w:val="none"/>
                <w:lang w:eastAsia="zh-CN"/>
              </w:rPr>
              <w:t>。</w:t>
            </w:r>
          </w:p>
          <w:p w14:paraId="225C0817">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支持多院区、多输血科管理</w:t>
            </w:r>
          </w:p>
          <w:p w14:paraId="256A7EE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输血质量管理支持多院区、多血库之间血液调拨，可以满足多个血库独立出入库，查询，统计等日常输血科工作</w:t>
            </w:r>
            <w:r>
              <w:rPr>
                <w:rFonts w:hint="eastAsia" w:ascii="宋体" w:hAnsi="宋体" w:eastAsia="宋体" w:cs="宋体"/>
                <w:bCs/>
                <w:color w:val="auto"/>
                <w:kern w:val="0"/>
                <w:sz w:val="24"/>
                <w:szCs w:val="24"/>
                <w:highlight w:val="none"/>
                <w:lang w:eastAsia="zh-CN"/>
              </w:rPr>
              <w:t>。</w:t>
            </w:r>
          </w:p>
          <w:p w14:paraId="645BE3E1">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bookmarkStart w:id="230" w:name="_Toc105421561"/>
            <w:r>
              <w:rPr>
                <w:rFonts w:hint="eastAsia" w:ascii="宋体" w:hAnsi="宋体" w:eastAsia="宋体" w:cs="宋体"/>
                <w:b/>
                <w:bCs/>
                <w:color w:val="auto"/>
                <w:kern w:val="0"/>
                <w:sz w:val="24"/>
                <w:szCs w:val="24"/>
                <w:highlight w:val="none"/>
              </w:rPr>
              <w:t>严格权限控制，保证用血安全</w:t>
            </w:r>
            <w:bookmarkEnd w:id="230"/>
          </w:p>
          <w:p w14:paraId="6550ADA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输血质量管理系统根据业务的需求设立不同的角色：医生、护士、医务处、手术室等，并且可以根据医生的不同的级别分别设置系统使用权限，严防越权使用系统。</w:t>
            </w:r>
          </w:p>
          <w:p w14:paraId="28CDDB90">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第三方多方式融合</w:t>
            </w:r>
          </w:p>
          <w:p w14:paraId="0F61BB7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输血质量管理输血临床端支持嵌入第三方系统，支持多种方式嵌入融合（DLL动态库、URL调用、EXE文件调用），实现统一登陆和管理。</w:t>
            </w:r>
          </w:p>
        </w:tc>
      </w:tr>
      <w:tr w14:paraId="12D1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920" w:type="dxa"/>
            <w:vMerge w:val="restart"/>
            <w:vAlign w:val="center"/>
          </w:tcPr>
          <w:p w14:paraId="4FEFCF17">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51．</w:t>
            </w:r>
            <w:r>
              <w:rPr>
                <w:rFonts w:hint="eastAsia" w:ascii="宋体" w:hAnsi="宋体" w:eastAsia="宋体" w:cs="宋体"/>
                <w:b/>
                <w:color w:val="auto"/>
                <w:sz w:val="24"/>
                <w:szCs w:val="24"/>
                <w:highlight w:val="none"/>
              </w:rPr>
              <w:t>医生工作站</w:t>
            </w:r>
          </w:p>
        </w:tc>
        <w:tc>
          <w:tcPr>
            <w:tcW w:w="1845" w:type="dxa"/>
            <w:vAlign w:val="center"/>
          </w:tcPr>
          <w:p w14:paraId="53508D0A">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定制化流程</w:t>
            </w:r>
          </w:p>
        </w:tc>
        <w:tc>
          <w:tcPr>
            <w:tcW w:w="6973" w:type="dxa"/>
            <w:vAlign w:val="top"/>
          </w:tcPr>
          <w:p w14:paraId="52AB95B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医院实际情况输血软件定制化业务流程。（备血、用血、紧急、自体、异型、血浆置换、放血治疗）不同的输血申请种类可以自定义业务流程顺序（知情同意书、输血前评估、输血申请、临床审核、输血科审核、医务科审核、申请单发送、交叉配血、输血记录与反馈、输血后评价），支持不同的申请种类显示专有的输血申请界面</w:t>
            </w:r>
            <w:r>
              <w:rPr>
                <w:rFonts w:hint="eastAsia" w:ascii="宋体" w:hAnsi="宋体" w:eastAsia="宋体" w:cs="宋体"/>
                <w:bCs/>
                <w:color w:val="auto"/>
                <w:kern w:val="0"/>
                <w:sz w:val="24"/>
                <w:szCs w:val="24"/>
                <w:highlight w:val="none"/>
                <w:lang w:eastAsia="zh-CN"/>
              </w:rPr>
              <w:t>。</w:t>
            </w:r>
          </w:p>
        </w:tc>
      </w:tr>
      <w:tr w14:paraId="3FA0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Merge w:val="continue"/>
            <w:vAlign w:val="center"/>
          </w:tcPr>
          <w:p w14:paraId="7A5FBB7A">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08035F65">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页面字段自定义</w:t>
            </w:r>
          </w:p>
        </w:tc>
        <w:tc>
          <w:tcPr>
            <w:tcW w:w="6973" w:type="dxa"/>
            <w:vAlign w:val="top"/>
          </w:tcPr>
          <w:p w14:paraId="32F1555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根据不同的申请单类型，每个页面（知情同意书、输血前评估、输血申请单）可以单独设置页面显示字段名称、输入方式、是否显示、是否可以编辑、默认值、列表内容、显示顺序等</w:t>
            </w:r>
            <w:r>
              <w:rPr>
                <w:rFonts w:hint="eastAsia" w:ascii="宋体" w:hAnsi="宋体" w:eastAsia="宋体" w:cs="宋体"/>
                <w:bCs/>
                <w:color w:val="auto"/>
                <w:kern w:val="0"/>
                <w:sz w:val="24"/>
                <w:szCs w:val="24"/>
                <w:highlight w:val="none"/>
                <w:lang w:eastAsia="zh-CN"/>
              </w:rPr>
              <w:t>。</w:t>
            </w:r>
          </w:p>
        </w:tc>
      </w:tr>
      <w:tr w14:paraId="7C1C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920" w:type="dxa"/>
            <w:vMerge w:val="continue"/>
            <w:vAlign w:val="center"/>
          </w:tcPr>
          <w:p w14:paraId="718F8A04">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5E7D3B0">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输血知情同意书</w:t>
            </w:r>
          </w:p>
        </w:tc>
        <w:tc>
          <w:tcPr>
            <w:tcW w:w="6973" w:type="dxa"/>
            <w:vAlign w:val="top"/>
          </w:tcPr>
          <w:p w14:paraId="33D444D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根据不同的（备血、用血、紧急、自体、异型、血浆置换、放血治疗）不同的输血申请种类可以自定义选择不同的知情同意书</w:t>
            </w:r>
            <w:r>
              <w:rPr>
                <w:rFonts w:hint="eastAsia" w:ascii="宋体" w:hAnsi="宋体" w:eastAsia="宋体" w:cs="宋体"/>
                <w:bCs/>
                <w:color w:val="auto"/>
                <w:kern w:val="0"/>
                <w:sz w:val="24"/>
                <w:szCs w:val="24"/>
                <w:highlight w:val="none"/>
                <w:lang w:eastAsia="zh-CN"/>
              </w:rPr>
              <w:t>。</w:t>
            </w:r>
          </w:p>
          <w:p w14:paraId="6F0F01E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知情同意书界面自动提取患者最近输血相关检验结果</w:t>
            </w:r>
            <w:r>
              <w:rPr>
                <w:rFonts w:hint="eastAsia" w:ascii="宋体" w:hAnsi="宋体" w:eastAsia="宋体" w:cs="宋体"/>
                <w:bCs/>
                <w:color w:val="auto"/>
                <w:kern w:val="0"/>
                <w:sz w:val="24"/>
                <w:szCs w:val="24"/>
                <w:highlight w:val="none"/>
                <w:lang w:eastAsia="zh-CN"/>
              </w:rPr>
              <w:t>。</w:t>
            </w:r>
          </w:p>
          <w:p w14:paraId="5458523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知情同意书模板可以根据医院实际格式进行自定义调整</w:t>
            </w:r>
            <w:r>
              <w:rPr>
                <w:rFonts w:hint="eastAsia" w:ascii="宋体" w:hAnsi="宋体" w:eastAsia="宋体" w:cs="宋体"/>
                <w:bCs/>
                <w:color w:val="auto"/>
                <w:kern w:val="0"/>
                <w:sz w:val="24"/>
                <w:szCs w:val="24"/>
                <w:highlight w:val="none"/>
                <w:lang w:eastAsia="zh-CN"/>
              </w:rPr>
              <w:t>。</w:t>
            </w:r>
          </w:p>
          <w:p w14:paraId="7661053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知情同意书支持手写板患者签名接口</w:t>
            </w:r>
            <w:r>
              <w:rPr>
                <w:rFonts w:hint="eastAsia" w:ascii="宋体" w:hAnsi="宋体" w:eastAsia="宋体" w:cs="宋体"/>
                <w:bCs/>
                <w:color w:val="auto"/>
                <w:kern w:val="0"/>
                <w:sz w:val="24"/>
                <w:szCs w:val="24"/>
                <w:highlight w:val="none"/>
                <w:lang w:eastAsia="zh-CN"/>
              </w:rPr>
              <w:t>。</w:t>
            </w:r>
          </w:p>
          <w:p w14:paraId="0EBB426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4"/>
                <w:szCs w:val="24"/>
                <w:highlight w:val="none"/>
              </w:rPr>
              <w:t>若未签知情同意书可进行控制是否进行后续步骤操作</w:t>
            </w:r>
            <w:r>
              <w:rPr>
                <w:rFonts w:hint="eastAsia" w:ascii="宋体" w:hAnsi="宋体" w:eastAsia="宋体" w:cs="宋体"/>
                <w:color w:val="auto"/>
                <w:sz w:val="24"/>
                <w:szCs w:val="24"/>
                <w:highlight w:val="none"/>
                <w:lang w:eastAsia="zh-CN"/>
              </w:rPr>
              <w:t>。</w:t>
            </w:r>
          </w:p>
        </w:tc>
      </w:tr>
      <w:tr w14:paraId="5105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4" w:hRule="atLeast"/>
          <w:jc w:val="center"/>
        </w:trPr>
        <w:tc>
          <w:tcPr>
            <w:tcW w:w="920" w:type="dxa"/>
            <w:vMerge w:val="continue"/>
            <w:vAlign w:val="center"/>
          </w:tcPr>
          <w:p w14:paraId="655C6C6D">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026A84BD">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输血前评估</w:t>
            </w:r>
          </w:p>
        </w:tc>
        <w:tc>
          <w:tcPr>
            <w:tcW w:w="6973" w:type="dxa"/>
            <w:vAlign w:val="top"/>
          </w:tcPr>
          <w:p w14:paraId="133B355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根据成份大类、是否手术、专业类别、急诊标识、年龄范围结合患者检验结果和体征设置输血适应症判定规则</w:t>
            </w:r>
            <w:r>
              <w:rPr>
                <w:rFonts w:hint="eastAsia" w:ascii="宋体" w:hAnsi="宋体" w:eastAsia="宋体" w:cs="宋体"/>
                <w:bCs/>
                <w:color w:val="auto"/>
                <w:kern w:val="0"/>
                <w:sz w:val="24"/>
                <w:szCs w:val="24"/>
                <w:highlight w:val="none"/>
                <w:lang w:eastAsia="zh-CN"/>
              </w:rPr>
              <w:t>。</w:t>
            </w:r>
          </w:p>
          <w:p w14:paraId="3354C84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输血量智能评估（预设公式可以根据不同血液成份、是否手术、性别、年龄区间，结合患者体重、身高、检验值、期望值自动计算患者预估输血量）</w:t>
            </w:r>
            <w:r>
              <w:rPr>
                <w:rFonts w:hint="eastAsia" w:ascii="宋体" w:hAnsi="宋体" w:eastAsia="宋体" w:cs="宋体"/>
                <w:bCs/>
                <w:color w:val="auto"/>
                <w:kern w:val="0"/>
                <w:sz w:val="24"/>
                <w:szCs w:val="24"/>
                <w:highlight w:val="none"/>
                <w:lang w:eastAsia="zh-CN"/>
              </w:rPr>
              <w:t>。</w:t>
            </w:r>
          </w:p>
          <w:p w14:paraId="5FD5B2D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根据检验指标结合输血适应症规则自动判断是否符合输血要求，对于不符合要求的提示需要医生填写合理输血理由</w:t>
            </w:r>
            <w:r>
              <w:rPr>
                <w:rFonts w:hint="eastAsia" w:ascii="宋体" w:hAnsi="宋体" w:eastAsia="宋体" w:cs="宋体"/>
                <w:bCs/>
                <w:color w:val="auto"/>
                <w:kern w:val="0"/>
                <w:sz w:val="24"/>
                <w:szCs w:val="24"/>
                <w:highlight w:val="none"/>
                <w:lang w:eastAsia="zh-CN"/>
              </w:rPr>
              <w:t>。</w:t>
            </w:r>
          </w:p>
          <w:p w14:paraId="748DF78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支持对患者失出血情况、溶血情况、心肺情况、贫血情况进行填写</w:t>
            </w:r>
            <w:r>
              <w:rPr>
                <w:rFonts w:hint="eastAsia" w:ascii="宋体" w:hAnsi="宋体" w:eastAsia="宋体" w:cs="宋体"/>
                <w:bCs/>
                <w:color w:val="auto"/>
                <w:kern w:val="0"/>
                <w:sz w:val="24"/>
                <w:szCs w:val="24"/>
                <w:highlight w:val="none"/>
                <w:lang w:eastAsia="zh-CN"/>
              </w:rPr>
              <w:t>。</w:t>
            </w:r>
          </w:p>
          <w:p w14:paraId="095D58F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支持对患者治疗过程输血前晶体液使用情况、输血前胶体液情况进行填写</w:t>
            </w:r>
            <w:r>
              <w:rPr>
                <w:rFonts w:hint="eastAsia" w:ascii="宋体" w:hAnsi="宋体" w:eastAsia="宋体" w:cs="宋体"/>
                <w:bCs/>
                <w:color w:val="auto"/>
                <w:kern w:val="0"/>
                <w:sz w:val="24"/>
                <w:szCs w:val="24"/>
                <w:highlight w:val="none"/>
                <w:lang w:eastAsia="zh-CN"/>
              </w:rPr>
              <w:t>。</w:t>
            </w:r>
          </w:p>
        </w:tc>
      </w:tr>
      <w:tr w14:paraId="7A38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0" w:hRule="atLeast"/>
          <w:jc w:val="center"/>
        </w:trPr>
        <w:tc>
          <w:tcPr>
            <w:tcW w:w="920" w:type="dxa"/>
            <w:vMerge w:val="continue"/>
            <w:vAlign w:val="center"/>
          </w:tcPr>
          <w:p w14:paraId="5048DA0B">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33A26A65">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输血申请</w:t>
            </w:r>
          </w:p>
        </w:tc>
        <w:tc>
          <w:tcPr>
            <w:tcW w:w="6973" w:type="dxa"/>
            <w:vAlign w:val="top"/>
          </w:tcPr>
          <w:p w14:paraId="5C81471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根据业务申请类型（常规用血、紧急用血、自体输血、血浆置换、放血治疗、血液成分单采治疗等）自定义业务流程</w:t>
            </w:r>
            <w:r>
              <w:rPr>
                <w:rFonts w:hint="eastAsia" w:ascii="宋体" w:hAnsi="宋体" w:eastAsia="宋体" w:cs="宋体"/>
                <w:bCs/>
                <w:color w:val="auto"/>
                <w:kern w:val="0"/>
                <w:sz w:val="24"/>
                <w:szCs w:val="24"/>
                <w:highlight w:val="none"/>
                <w:lang w:eastAsia="zh-CN"/>
              </w:rPr>
              <w:t>。</w:t>
            </w:r>
          </w:p>
          <w:p w14:paraId="601A81E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支持备血申请、常规用血申请、紧急用血申请、自体输血申请、血浆置换申请、放血治疗申请申请类型</w:t>
            </w:r>
            <w:r>
              <w:rPr>
                <w:rFonts w:hint="eastAsia" w:ascii="宋体" w:hAnsi="宋体" w:eastAsia="宋体" w:cs="宋体"/>
                <w:bCs/>
                <w:color w:val="auto"/>
                <w:kern w:val="0"/>
                <w:sz w:val="24"/>
                <w:szCs w:val="24"/>
                <w:highlight w:val="none"/>
                <w:lang w:eastAsia="zh-CN"/>
              </w:rPr>
              <w:t>。</w:t>
            </w:r>
          </w:p>
          <w:p w14:paraId="59949FD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支持不同申请类型可以设置适用的输血目的、输血性质、血液成份</w:t>
            </w:r>
            <w:r>
              <w:rPr>
                <w:rFonts w:hint="eastAsia" w:ascii="宋体" w:hAnsi="宋体" w:eastAsia="宋体" w:cs="宋体"/>
                <w:bCs/>
                <w:color w:val="auto"/>
                <w:kern w:val="0"/>
                <w:sz w:val="24"/>
                <w:szCs w:val="24"/>
                <w:highlight w:val="none"/>
                <w:lang w:eastAsia="zh-CN"/>
              </w:rPr>
              <w:t>。</w:t>
            </w:r>
          </w:p>
          <w:p w14:paraId="6B10CC7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支持不同的申请类型可以设置不同的申请单格式。</w:t>
            </w:r>
          </w:p>
          <w:p w14:paraId="74DBFF0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输血申请界面自动提取患者最近输血相关检验结果</w:t>
            </w:r>
            <w:r>
              <w:rPr>
                <w:rFonts w:hint="eastAsia" w:ascii="宋体" w:hAnsi="宋体" w:eastAsia="宋体" w:cs="宋体"/>
                <w:bCs/>
                <w:color w:val="auto"/>
                <w:kern w:val="0"/>
                <w:sz w:val="24"/>
                <w:szCs w:val="24"/>
                <w:highlight w:val="none"/>
                <w:lang w:eastAsia="zh-CN"/>
              </w:rPr>
              <w:t>。</w:t>
            </w:r>
          </w:p>
          <w:p w14:paraId="2C33676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输血申请时根据实时库存状态进行预警并智能提示</w:t>
            </w:r>
            <w:r>
              <w:rPr>
                <w:rFonts w:hint="eastAsia" w:ascii="宋体" w:hAnsi="宋体" w:eastAsia="宋体" w:cs="宋体"/>
                <w:bCs/>
                <w:color w:val="auto"/>
                <w:kern w:val="0"/>
                <w:sz w:val="24"/>
                <w:szCs w:val="24"/>
                <w:highlight w:val="none"/>
                <w:lang w:eastAsia="zh-CN"/>
              </w:rPr>
              <w:t>。</w:t>
            </w:r>
          </w:p>
          <w:p w14:paraId="71C0908A">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firstLine="240" w:firstLineChars="100"/>
              <w:contextualSpacing/>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en-US" w:bidi="ar-SA"/>
              </w:rPr>
              <w:t>医生工作站界面可分别查看本病区全部病人、我的病人，患者信息床号、病人姓名显示明显，可以显示申请单详细状态，超量申请、抗体阴性、RH阴性用醒目颜色提醒，方便医生查看</w:t>
            </w:r>
            <w:r>
              <w:rPr>
                <w:rFonts w:hint="eastAsia" w:ascii="宋体" w:hAnsi="宋体" w:eastAsia="宋体" w:cs="宋体"/>
                <w:color w:val="auto"/>
                <w:kern w:val="0"/>
                <w:sz w:val="24"/>
                <w:szCs w:val="24"/>
                <w:highlight w:val="none"/>
                <w:lang w:val="en-US" w:eastAsia="zh-CN" w:bidi="ar-SA"/>
              </w:rPr>
              <w:t>。</w:t>
            </w:r>
          </w:p>
        </w:tc>
      </w:tr>
      <w:tr w14:paraId="37BFC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0" w:hRule="atLeast"/>
          <w:jc w:val="center"/>
        </w:trPr>
        <w:tc>
          <w:tcPr>
            <w:tcW w:w="920" w:type="dxa"/>
            <w:vMerge w:val="continue"/>
            <w:vAlign w:val="center"/>
          </w:tcPr>
          <w:p w14:paraId="7BF22E50">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24DE746">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输血检验医嘱条码</w:t>
            </w:r>
          </w:p>
        </w:tc>
        <w:tc>
          <w:tcPr>
            <w:tcW w:w="6973" w:type="dxa"/>
            <w:vAlign w:val="top"/>
          </w:tcPr>
          <w:p w14:paraId="787240C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支持自定义设置相溶性检验项目策略生成相关检验医嘱和条码（交叉配血医嘱、不规则抗体医嘱、血型医嘱）</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 xml:space="preserve">   </w:t>
            </w:r>
          </w:p>
          <w:p w14:paraId="69D8CA5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血型鉴定支持策略包括（每次申请时、本次入院第一次申请时、需要交叉配血时、有效天数）可以根据实际情况进行策略配置</w:t>
            </w:r>
            <w:r>
              <w:rPr>
                <w:rFonts w:hint="eastAsia" w:ascii="宋体" w:hAnsi="宋体" w:eastAsia="宋体" w:cs="宋体"/>
                <w:bCs/>
                <w:color w:val="auto"/>
                <w:kern w:val="0"/>
                <w:sz w:val="24"/>
                <w:szCs w:val="24"/>
                <w:highlight w:val="none"/>
                <w:lang w:eastAsia="zh-CN"/>
              </w:rPr>
              <w:t>。</w:t>
            </w:r>
          </w:p>
          <w:p w14:paraId="27304A0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交叉配血支持策略选择输注成份时候需要自动生成相关检验医嘱和条码</w:t>
            </w:r>
            <w:r>
              <w:rPr>
                <w:rFonts w:hint="eastAsia" w:ascii="宋体" w:hAnsi="宋体" w:eastAsia="宋体" w:cs="宋体"/>
                <w:bCs/>
                <w:color w:val="auto"/>
                <w:kern w:val="0"/>
                <w:sz w:val="24"/>
                <w:szCs w:val="24"/>
                <w:highlight w:val="none"/>
                <w:lang w:eastAsia="zh-CN"/>
              </w:rPr>
              <w:t>。</w:t>
            </w:r>
          </w:p>
          <w:p w14:paraId="1D7C5B2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抗体筛查支持策略包括（每次申请时、本次入院第一次申请时、需要交叉配血时、有输血史患者、有妊娠史患者，当前不规则抗体为阳性时）可以根据实际情况进行策略配置</w:t>
            </w:r>
            <w:r>
              <w:rPr>
                <w:rFonts w:hint="eastAsia" w:ascii="宋体" w:hAnsi="宋体" w:eastAsia="宋体" w:cs="宋体"/>
                <w:bCs/>
                <w:color w:val="auto"/>
                <w:kern w:val="0"/>
                <w:sz w:val="24"/>
                <w:szCs w:val="24"/>
                <w:highlight w:val="none"/>
                <w:lang w:eastAsia="zh-CN"/>
              </w:rPr>
              <w:t>。</w:t>
            </w:r>
          </w:p>
          <w:p w14:paraId="7853203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输血申请的时候可以根据配置的策略自动对需要的申请项目进行打勾，自动生成相关检验条码</w:t>
            </w:r>
            <w:r>
              <w:rPr>
                <w:rFonts w:hint="eastAsia" w:ascii="宋体" w:hAnsi="宋体" w:eastAsia="宋体" w:cs="宋体"/>
                <w:bCs/>
                <w:color w:val="auto"/>
                <w:kern w:val="0"/>
                <w:sz w:val="24"/>
                <w:szCs w:val="24"/>
                <w:highlight w:val="none"/>
                <w:lang w:eastAsia="zh-CN"/>
              </w:rPr>
              <w:t>。</w:t>
            </w:r>
          </w:p>
        </w:tc>
      </w:tr>
      <w:tr w14:paraId="6033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Merge w:val="continue"/>
            <w:vAlign w:val="center"/>
          </w:tcPr>
          <w:p w14:paraId="5A33A1F4">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6CE9BF82">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紧急输血申请</w:t>
            </w:r>
          </w:p>
        </w:tc>
        <w:tc>
          <w:tcPr>
            <w:tcW w:w="6973" w:type="dxa"/>
            <w:vAlign w:val="top"/>
          </w:tcPr>
          <w:p w14:paraId="1AA170F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支持危重症患者紧急用血申请，确保患者及时用血，对于输血前评估、分级审核等不做系统控制。</w:t>
            </w:r>
          </w:p>
          <w:p w14:paraId="52C0907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紧急用血流程中的审批等流程后续可以补录，形成补审批流程管理。</w:t>
            </w:r>
          </w:p>
        </w:tc>
      </w:tr>
      <w:tr w14:paraId="1D68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920" w:type="dxa"/>
            <w:vMerge w:val="continue"/>
            <w:vAlign w:val="center"/>
          </w:tcPr>
          <w:p w14:paraId="1F3C236D">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2D15CE08">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bookmarkStart w:id="231" w:name="_Toc105421582"/>
            <w:bookmarkStart w:id="232" w:name="_Toc84700779"/>
            <w:r>
              <w:rPr>
                <w:rFonts w:hint="eastAsia" w:ascii="宋体" w:hAnsi="宋体" w:eastAsia="宋体" w:cs="宋体"/>
                <w:b/>
                <w:bCs/>
                <w:color w:val="auto"/>
                <w:sz w:val="24"/>
                <w:szCs w:val="24"/>
                <w:highlight w:val="none"/>
              </w:rPr>
              <w:t>自体输血</w:t>
            </w:r>
            <w:bookmarkEnd w:id="231"/>
            <w:bookmarkEnd w:id="232"/>
          </w:p>
        </w:tc>
        <w:tc>
          <w:tcPr>
            <w:tcW w:w="6973" w:type="dxa"/>
            <w:vAlign w:val="top"/>
          </w:tcPr>
          <w:p w14:paraId="3535DCF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自体输血支持贮存式、回收式、稀释式三种模式。</w:t>
            </w:r>
          </w:p>
          <w:p w14:paraId="4D1BDCA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贮存式自体血支持标签打印、采集、出入库。记录采集信息、失效信息记录，后期可根据相关信息提示、预警等。</w:t>
            </w:r>
          </w:p>
        </w:tc>
      </w:tr>
      <w:tr w14:paraId="6DF8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20" w:type="dxa"/>
            <w:vMerge w:val="continue"/>
            <w:vAlign w:val="center"/>
          </w:tcPr>
          <w:p w14:paraId="6611BCEC">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1C6F28C">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血浆置换</w:t>
            </w:r>
          </w:p>
        </w:tc>
        <w:tc>
          <w:tcPr>
            <w:tcW w:w="6973" w:type="dxa"/>
            <w:vAlign w:val="top"/>
          </w:tcPr>
          <w:p w14:paraId="73615CB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支持治疗方案选择人工置换、机器置换</w:t>
            </w:r>
            <w:r>
              <w:rPr>
                <w:rFonts w:hint="eastAsia" w:ascii="宋体" w:hAnsi="宋体" w:eastAsia="宋体" w:cs="宋体"/>
                <w:bCs/>
                <w:color w:val="auto"/>
                <w:kern w:val="0"/>
                <w:sz w:val="24"/>
                <w:szCs w:val="24"/>
                <w:highlight w:val="none"/>
                <w:lang w:eastAsia="zh-CN"/>
              </w:rPr>
              <w:t>。</w:t>
            </w:r>
          </w:p>
          <w:p w14:paraId="4BD07EF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支持根据患者检验结果、体重计算预估治疗量</w:t>
            </w:r>
            <w:r>
              <w:rPr>
                <w:rFonts w:hint="eastAsia" w:ascii="宋体" w:hAnsi="宋体" w:eastAsia="宋体" w:cs="宋体"/>
                <w:bCs/>
                <w:color w:val="auto"/>
                <w:kern w:val="0"/>
                <w:sz w:val="24"/>
                <w:szCs w:val="24"/>
                <w:highlight w:val="none"/>
                <w:lang w:eastAsia="zh-CN"/>
              </w:rPr>
              <w:t>。</w:t>
            </w:r>
          </w:p>
        </w:tc>
      </w:tr>
      <w:tr w14:paraId="110F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 w:type="dxa"/>
            <w:vMerge w:val="continue"/>
            <w:vAlign w:val="center"/>
          </w:tcPr>
          <w:p w14:paraId="05EB428A">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447EA7B0">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分级审核</w:t>
            </w:r>
          </w:p>
        </w:tc>
        <w:tc>
          <w:tcPr>
            <w:tcW w:w="6973" w:type="dxa"/>
            <w:vAlign w:val="top"/>
          </w:tcPr>
          <w:p w14:paraId="06922C3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用血申请/审核权限分级管理：按照《医疗机构临床用血管理办法》系统可进行分级授权管理，针对不同的职称可以设置不同的用血审核量</w:t>
            </w:r>
            <w:r>
              <w:rPr>
                <w:rFonts w:hint="eastAsia" w:ascii="宋体" w:hAnsi="宋体" w:eastAsia="宋体" w:cs="宋体"/>
                <w:bCs/>
                <w:color w:val="auto"/>
                <w:kern w:val="0"/>
                <w:sz w:val="24"/>
                <w:szCs w:val="24"/>
                <w:highlight w:val="none"/>
                <w:lang w:eastAsia="zh-CN"/>
              </w:rPr>
              <w:t>。</w:t>
            </w:r>
          </w:p>
          <w:p w14:paraId="45D199C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用血申请保存的时软件自动提示下一步需要审核的权限，实现上级医师、科主任、职能部门等角色对申请单据的有效分级审核。</w:t>
            </w:r>
          </w:p>
          <w:p w14:paraId="23F26CA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同一患者一天申请备血量少于800毫升的，由具有中级以上专业技术职务任职资格的医师提出申请，上级医师核准签发后，方可备血。</w:t>
            </w:r>
          </w:p>
          <w:p w14:paraId="2D2677F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同一患者一天申请备血量在800毫升至1600毫升的，由具有中级以上专业技术职务任职资格的医师提出申请，经上级医师审核，科室主任核准签发后，方可备血。</w:t>
            </w:r>
          </w:p>
          <w:p w14:paraId="315BD59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同一患者一天申请备血量达到或超过1600毫升的，由具有中级以上专业技术职务任职资格的医师提出申请，科室主任核准签发后，报医务部门批准，方可备血。</w:t>
            </w:r>
          </w:p>
        </w:tc>
      </w:tr>
      <w:tr w14:paraId="760A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920" w:type="dxa"/>
            <w:vMerge w:val="continue"/>
            <w:vAlign w:val="center"/>
          </w:tcPr>
          <w:p w14:paraId="6872BF0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F7E843B">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bookmarkStart w:id="233" w:name="_Toc19567_WPSOffice_Level2"/>
            <w:bookmarkStart w:id="234" w:name="_Toc14130971"/>
            <w:bookmarkStart w:id="235" w:name="_Toc14131089"/>
            <w:bookmarkStart w:id="236" w:name="_Toc14131201"/>
            <w:bookmarkStart w:id="237" w:name="_Toc12783_WPSOffice_Level3"/>
            <w:bookmarkStart w:id="238" w:name="_Toc84700784"/>
            <w:bookmarkStart w:id="239" w:name="_Toc2488"/>
            <w:bookmarkStart w:id="240" w:name="_Toc105421587"/>
            <w:r>
              <w:rPr>
                <w:rFonts w:hint="eastAsia" w:ascii="宋体" w:hAnsi="宋体" w:eastAsia="宋体" w:cs="宋体"/>
                <w:b/>
                <w:bCs/>
                <w:color w:val="auto"/>
                <w:kern w:val="0"/>
                <w:sz w:val="24"/>
                <w:szCs w:val="24"/>
                <w:highlight w:val="none"/>
                <w:lang w:val="en-US" w:eastAsia="en-US" w:bidi="ar-SA"/>
              </w:rPr>
              <w:t>输血疗效智能评价</w:t>
            </w:r>
            <w:bookmarkEnd w:id="233"/>
            <w:bookmarkEnd w:id="234"/>
            <w:bookmarkEnd w:id="235"/>
            <w:bookmarkEnd w:id="236"/>
            <w:bookmarkEnd w:id="237"/>
            <w:bookmarkEnd w:id="238"/>
            <w:bookmarkEnd w:id="239"/>
            <w:bookmarkEnd w:id="240"/>
          </w:p>
        </w:tc>
        <w:tc>
          <w:tcPr>
            <w:tcW w:w="6973" w:type="dxa"/>
            <w:vAlign w:val="top"/>
          </w:tcPr>
          <w:p w14:paraId="46BDE06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支持根据患者身高、体重、人体表面积、患者输血前后检验结果设置输血疗效评价公式</w:t>
            </w:r>
            <w:r>
              <w:rPr>
                <w:rFonts w:hint="eastAsia" w:ascii="宋体" w:hAnsi="宋体" w:eastAsia="宋体" w:cs="宋体"/>
                <w:bCs/>
                <w:color w:val="auto"/>
                <w:kern w:val="0"/>
                <w:sz w:val="24"/>
                <w:szCs w:val="24"/>
                <w:highlight w:val="none"/>
                <w:lang w:eastAsia="zh-CN"/>
              </w:rPr>
              <w:t>。</w:t>
            </w:r>
          </w:p>
          <w:p w14:paraId="4A5DDB8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输血完成自动获取患者输血前、输血后1小时、输血后24小时检验结果，自动根据预设公式智能计算血红蛋白恢复率、红细胞输注效果、血小板输注效果、CCI(血小板升高指数)、PPR (血小板回收率)</w:t>
            </w:r>
            <w:r>
              <w:rPr>
                <w:rFonts w:hint="eastAsia" w:ascii="宋体" w:hAnsi="宋体" w:eastAsia="宋体" w:cs="宋体"/>
                <w:bCs/>
                <w:color w:val="auto"/>
                <w:kern w:val="0"/>
                <w:sz w:val="24"/>
                <w:szCs w:val="24"/>
                <w:highlight w:val="none"/>
                <w:lang w:eastAsia="zh-CN"/>
              </w:rPr>
              <w:t>。</w:t>
            </w:r>
          </w:p>
          <w:p w14:paraId="70D9F22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4"/>
                <w:szCs w:val="24"/>
                <w:highlight w:val="none"/>
              </w:rPr>
              <w:t>智能提取患者输血检验结果、体征、输注血液信息，自动绘制曲线，方便查看</w:t>
            </w:r>
            <w:r>
              <w:rPr>
                <w:rFonts w:hint="eastAsia" w:ascii="宋体" w:hAnsi="宋体" w:eastAsia="宋体" w:cs="宋体"/>
                <w:color w:val="auto"/>
                <w:sz w:val="24"/>
                <w:szCs w:val="24"/>
                <w:highlight w:val="none"/>
                <w:lang w:eastAsia="zh-CN"/>
              </w:rPr>
              <w:t>。</w:t>
            </w:r>
          </w:p>
        </w:tc>
      </w:tr>
      <w:tr w14:paraId="5CC9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920" w:type="dxa"/>
            <w:vMerge w:val="restart"/>
            <w:vAlign w:val="center"/>
          </w:tcPr>
          <w:p w14:paraId="51B79AAD">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52．</w:t>
            </w:r>
            <w:r>
              <w:rPr>
                <w:rFonts w:hint="eastAsia" w:ascii="宋体" w:hAnsi="宋体" w:eastAsia="宋体" w:cs="宋体"/>
                <w:b/>
                <w:color w:val="auto"/>
                <w:sz w:val="24"/>
                <w:szCs w:val="24"/>
                <w:highlight w:val="none"/>
              </w:rPr>
              <w:t>护士工作站</w:t>
            </w:r>
          </w:p>
        </w:tc>
        <w:tc>
          <w:tcPr>
            <w:tcW w:w="1845" w:type="dxa"/>
            <w:vAlign w:val="center"/>
          </w:tcPr>
          <w:p w14:paraId="37C12B87">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检验标本管理</w:t>
            </w:r>
          </w:p>
        </w:tc>
        <w:tc>
          <w:tcPr>
            <w:tcW w:w="6973" w:type="dxa"/>
            <w:vAlign w:val="top"/>
          </w:tcPr>
          <w:p w14:paraId="25D9950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条码打印：自动生成输血检验条码，护士进行条码打印</w:t>
            </w:r>
            <w:r>
              <w:rPr>
                <w:rFonts w:hint="eastAsia" w:ascii="宋体" w:hAnsi="宋体" w:eastAsia="宋体" w:cs="宋体"/>
                <w:bCs/>
                <w:color w:val="auto"/>
                <w:kern w:val="0"/>
                <w:sz w:val="24"/>
                <w:szCs w:val="24"/>
                <w:highlight w:val="none"/>
                <w:lang w:eastAsia="zh-CN"/>
              </w:rPr>
              <w:t>。</w:t>
            </w:r>
          </w:p>
          <w:p w14:paraId="2BB7F26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标本采集确认：在标本采集时扫描已打印条码，记录采集时间和采集人。支持移动护理（PDA）接口，直接床旁采集确认标本</w:t>
            </w:r>
            <w:r>
              <w:rPr>
                <w:rFonts w:hint="eastAsia" w:ascii="宋体" w:hAnsi="宋体" w:eastAsia="宋体" w:cs="宋体"/>
                <w:bCs/>
                <w:color w:val="auto"/>
                <w:kern w:val="0"/>
                <w:sz w:val="24"/>
                <w:szCs w:val="24"/>
                <w:highlight w:val="none"/>
                <w:lang w:eastAsia="zh-CN"/>
              </w:rPr>
              <w:t>。</w:t>
            </w:r>
          </w:p>
          <w:p w14:paraId="284C8A6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标本送出确认：在标本送出时扫描需要送到输血科的条码，记录标本送出时间和送出人。支持批量选中已采集标本送出，支持分类打包送出。</w:t>
            </w:r>
          </w:p>
        </w:tc>
      </w:tr>
      <w:tr w14:paraId="31CE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Merge w:val="continue"/>
            <w:vAlign w:val="center"/>
          </w:tcPr>
          <w:p w14:paraId="5468D198">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4FB709DF">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取血通知</w:t>
            </w:r>
          </w:p>
        </w:tc>
        <w:tc>
          <w:tcPr>
            <w:tcW w:w="6973" w:type="dxa"/>
            <w:vAlign w:val="top"/>
          </w:tcPr>
          <w:p w14:paraId="29AB798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输血科交叉配血完成后，系统自动发送取血通知到相关的病区或科室</w:t>
            </w:r>
            <w:r>
              <w:rPr>
                <w:rFonts w:hint="eastAsia" w:ascii="宋体" w:hAnsi="宋体" w:eastAsia="宋体" w:cs="宋体"/>
                <w:bCs/>
                <w:color w:val="auto"/>
                <w:kern w:val="0"/>
                <w:sz w:val="24"/>
                <w:szCs w:val="24"/>
                <w:highlight w:val="none"/>
                <w:lang w:eastAsia="zh-CN"/>
              </w:rPr>
              <w:t>。</w:t>
            </w:r>
          </w:p>
          <w:p w14:paraId="2BE8A9A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消息中心自动弹窗提醒</w:t>
            </w:r>
            <w:r>
              <w:rPr>
                <w:rFonts w:hint="eastAsia" w:ascii="宋体" w:hAnsi="宋体" w:eastAsia="宋体" w:cs="宋体"/>
                <w:bCs/>
                <w:color w:val="auto"/>
                <w:kern w:val="0"/>
                <w:sz w:val="24"/>
                <w:szCs w:val="24"/>
                <w:highlight w:val="none"/>
                <w:lang w:eastAsia="zh-CN"/>
              </w:rPr>
              <w:t>。</w:t>
            </w:r>
          </w:p>
          <w:p w14:paraId="7E38F4E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支持取血护士打印取血通知单</w:t>
            </w:r>
            <w:r>
              <w:rPr>
                <w:rFonts w:hint="eastAsia" w:ascii="宋体" w:hAnsi="宋体" w:eastAsia="宋体" w:cs="宋体"/>
                <w:bCs/>
                <w:color w:val="auto"/>
                <w:kern w:val="0"/>
                <w:sz w:val="24"/>
                <w:szCs w:val="24"/>
                <w:highlight w:val="none"/>
                <w:lang w:eastAsia="zh-CN"/>
              </w:rPr>
              <w:t>。</w:t>
            </w:r>
          </w:p>
        </w:tc>
      </w:tr>
      <w:tr w14:paraId="34C10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20" w:type="dxa"/>
            <w:vMerge w:val="continue"/>
            <w:vAlign w:val="center"/>
          </w:tcPr>
          <w:p w14:paraId="6AC1FAD4">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16524593">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取血确认</w:t>
            </w:r>
          </w:p>
        </w:tc>
        <w:tc>
          <w:tcPr>
            <w:tcW w:w="6973" w:type="dxa"/>
            <w:vAlign w:val="top"/>
          </w:tcPr>
          <w:p w14:paraId="2219541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取血护士取回血液后，需要扫描血袋条码、血袋成分码逐一核对，确保所取回血袋正确无误</w:t>
            </w:r>
            <w:r>
              <w:rPr>
                <w:rFonts w:hint="eastAsia" w:ascii="宋体" w:hAnsi="宋体" w:eastAsia="宋体" w:cs="宋体"/>
                <w:bCs/>
                <w:color w:val="auto"/>
                <w:kern w:val="0"/>
                <w:sz w:val="24"/>
                <w:szCs w:val="24"/>
                <w:highlight w:val="none"/>
                <w:lang w:eastAsia="zh-CN"/>
              </w:rPr>
              <w:t>。</w:t>
            </w:r>
          </w:p>
        </w:tc>
      </w:tr>
      <w:tr w14:paraId="52EA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920" w:type="dxa"/>
            <w:vMerge w:val="continue"/>
            <w:vAlign w:val="center"/>
          </w:tcPr>
          <w:p w14:paraId="5A63603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0C1DEA35">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输注过程管理</w:t>
            </w:r>
          </w:p>
        </w:tc>
        <w:tc>
          <w:tcPr>
            <w:tcW w:w="6973" w:type="dxa"/>
            <w:vAlign w:val="top"/>
          </w:tcPr>
          <w:p w14:paraId="24A8610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输血记录全流程（输注前巡视、输注开始、输注巡视、输注结束、输注后巡视）</w:t>
            </w:r>
            <w:r>
              <w:rPr>
                <w:rFonts w:hint="eastAsia" w:ascii="宋体" w:hAnsi="宋体" w:eastAsia="宋体" w:cs="宋体"/>
                <w:bCs/>
                <w:color w:val="auto"/>
                <w:kern w:val="0"/>
                <w:sz w:val="24"/>
                <w:szCs w:val="24"/>
                <w:highlight w:val="none"/>
                <w:lang w:eastAsia="zh-CN"/>
              </w:rPr>
              <w:t>。</w:t>
            </w:r>
          </w:p>
          <w:p w14:paraId="3CA02C2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自定义体征项目（滴速、体温、脉搏、心率、呼吸、舒张压、收缩压）填写方式、警示上下限、常用结果列表、默认值</w:t>
            </w:r>
            <w:r>
              <w:rPr>
                <w:rFonts w:hint="eastAsia" w:ascii="宋体" w:hAnsi="宋体" w:eastAsia="宋体" w:cs="宋体"/>
                <w:bCs/>
                <w:color w:val="auto"/>
                <w:kern w:val="0"/>
                <w:sz w:val="24"/>
                <w:szCs w:val="24"/>
                <w:highlight w:val="none"/>
                <w:lang w:eastAsia="zh-CN"/>
              </w:rPr>
              <w:t>。</w:t>
            </w:r>
          </w:p>
          <w:p w14:paraId="270B2E3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输血管理系统中扫描出库标签条形码和血袋条形码记录输血开始时间和输血人</w:t>
            </w:r>
            <w:r>
              <w:rPr>
                <w:rFonts w:hint="eastAsia" w:ascii="宋体" w:hAnsi="宋体" w:eastAsia="宋体" w:cs="宋体"/>
                <w:bCs/>
                <w:color w:val="auto"/>
                <w:kern w:val="0"/>
                <w:sz w:val="24"/>
                <w:szCs w:val="24"/>
                <w:highlight w:val="none"/>
                <w:lang w:eastAsia="zh-CN"/>
              </w:rPr>
              <w:t>。</w:t>
            </w:r>
          </w:p>
          <w:p w14:paraId="294F8CE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输注过程支持和 PDA 进行对接，护士先扫描病人腕带再扫描出库标签条形码和血袋条形码，记录输血开始时间和输血人</w:t>
            </w:r>
            <w:r>
              <w:rPr>
                <w:rFonts w:hint="eastAsia" w:ascii="宋体" w:hAnsi="宋体" w:eastAsia="宋体" w:cs="宋体"/>
                <w:bCs/>
                <w:color w:val="auto"/>
                <w:kern w:val="0"/>
                <w:sz w:val="24"/>
                <w:szCs w:val="24"/>
                <w:highlight w:val="none"/>
                <w:lang w:eastAsia="zh-CN"/>
              </w:rPr>
              <w:t>。</w:t>
            </w:r>
          </w:p>
          <w:p w14:paraId="253F869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支持血袋科室间交接</w:t>
            </w:r>
            <w:r>
              <w:rPr>
                <w:rFonts w:hint="eastAsia" w:ascii="宋体" w:hAnsi="宋体" w:eastAsia="宋体" w:cs="宋体"/>
                <w:bCs/>
                <w:color w:val="auto"/>
                <w:kern w:val="0"/>
                <w:sz w:val="24"/>
                <w:szCs w:val="24"/>
                <w:highlight w:val="none"/>
                <w:lang w:eastAsia="zh-CN"/>
              </w:rPr>
              <w:t>。</w:t>
            </w:r>
          </w:p>
          <w:p w14:paraId="4EF1BF2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支持输血患者中转院登记</w:t>
            </w:r>
            <w:r>
              <w:rPr>
                <w:rFonts w:hint="eastAsia" w:ascii="宋体" w:hAnsi="宋体" w:eastAsia="宋体" w:cs="宋体"/>
                <w:bCs/>
                <w:color w:val="auto"/>
                <w:kern w:val="0"/>
                <w:sz w:val="24"/>
                <w:szCs w:val="24"/>
                <w:highlight w:val="none"/>
                <w:lang w:eastAsia="zh-CN"/>
              </w:rPr>
              <w:t>。</w:t>
            </w:r>
          </w:p>
          <w:p w14:paraId="10A3086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输血结束后，护士扫描血袋条形码和成份码进行血袋回收，记录血袋回收人、回收时间</w:t>
            </w:r>
            <w:r>
              <w:rPr>
                <w:rFonts w:hint="eastAsia" w:ascii="宋体" w:hAnsi="宋体" w:eastAsia="宋体" w:cs="宋体"/>
                <w:bCs/>
                <w:color w:val="auto"/>
                <w:kern w:val="0"/>
                <w:sz w:val="24"/>
                <w:szCs w:val="24"/>
                <w:highlight w:val="none"/>
                <w:lang w:eastAsia="zh-CN"/>
              </w:rPr>
              <w:t>。</w:t>
            </w:r>
          </w:p>
          <w:p w14:paraId="554ECC3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 xml:space="preserve"> 已回收血袋护士扫描血袋条形码和成份码进行血袋销毁，记录血袋销毁人、销毁时间</w:t>
            </w:r>
            <w:r>
              <w:rPr>
                <w:rFonts w:hint="eastAsia" w:ascii="宋体" w:hAnsi="宋体" w:eastAsia="宋体" w:cs="宋体"/>
                <w:bCs/>
                <w:color w:val="auto"/>
                <w:kern w:val="0"/>
                <w:sz w:val="24"/>
                <w:szCs w:val="24"/>
                <w:highlight w:val="none"/>
                <w:lang w:eastAsia="zh-CN"/>
              </w:rPr>
              <w:t>。</w:t>
            </w:r>
          </w:p>
        </w:tc>
      </w:tr>
      <w:tr w14:paraId="6DB8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920" w:type="dxa"/>
            <w:vMerge w:val="continue"/>
            <w:vAlign w:val="center"/>
          </w:tcPr>
          <w:p w14:paraId="6657169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7EBF6EF">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护理记录单</w:t>
            </w:r>
          </w:p>
        </w:tc>
        <w:tc>
          <w:tcPr>
            <w:tcW w:w="6973" w:type="dxa"/>
            <w:vAlign w:val="top"/>
          </w:tcPr>
          <w:p w14:paraId="533F98F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自动根据输注过程记录生成护理记录单</w:t>
            </w:r>
            <w:r>
              <w:rPr>
                <w:rFonts w:hint="eastAsia" w:ascii="宋体" w:hAnsi="宋体" w:eastAsia="宋体" w:cs="宋体"/>
                <w:bCs/>
                <w:color w:val="auto"/>
                <w:kern w:val="0"/>
                <w:sz w:val="24"/>
                <w:szCs w:val="24"/>
                <w:highlight w:val="none"/>
                <w:lang w:eastAsia="zh-CN"/>
              </w:rPr>
              <w:t>。</w:t>
            </w:r>
          </w:p>
          <w:p w14:paraId="14FD098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支持护理记录单格式自定义调整</w:t>
            </w:r>
            <w:r>
              <w:rPr>
                <w:rFonts w:hint="eastAsia" w:ascii="宋体" w:hAnsi="宋体" w:eastAsia="宋体" w:cs="宋体"/>
                <w:bCs/>
                <w:color w:val="auto"/>
                <w:kern w:val="0"/>
                <w:sz w:val="24"/>
                <w:szCs w:val="24"/>
                <w:highlight w:val="none"/>
                <w:lang w:eastAsia="zh-CN"/>
              </w:rPr>
              <w:t>。</w:t>
            </w:r>
          </w:p>
          <w:p w14:paraId="08068A5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支持护理记录单预览、打印</w:t>
            </w:r>
            <w:r>
              <w:rPr>
                <w:rFonts w:hint="eastAsia" w:ascii="宋体" w:hAnsi="宋体" w:eastAsia="宋体" w:cs="宋体"/>
                <w:bCs/>
                <w:color w:val="auto"/>
                <w:kern w:val="0"/>
                <w:sz w:val="24"/>
                <w:szCs w:val="24"/>
                <w:highlight w:val="none"/>
                <w:lang w:eastAsia="zh-CN"/>
              </w:rPr>
              <w:t>。</w:t>
            </w:r>
          </w:p>
        </w:tc>
      </w:tr>
      <w:tr w14:paraId="476F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1" w:hRule="atLeast"/>
          <w:jc w:val="center"/>
        </w:trPr>
        <w:tc>
          <w:tcPr>
            <w:tcW w:w="920" w:type="dxa"/>
            <w:vAlign w:val="center"/>
          </w:tcPr>
          <w:p w14:paraId="04961880">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53．</w:t>
            </w:r>
            <w:r>
              <w:rPr>
                <w:rFonts w:hint="eastAsia" w:ascii="宋体" w:hAnsi="宋体" w:eastAsia="宋体" w:cs="宋体"/>
                <w:b/>
                <w:color w:val="auto"/>
                <w:sz w:val="24"/>
                <w:szCs w:val="24"/>
                <w:highlight w:val="none"/>
              </w:rPr>
              <w:t>手术室管理</w:t>
            </w:r>
          </w:p>
        </w:tc>
        <w:tc>
          <w:tcPr>
            <w:tcW w:w="1845" w:type="dxa"/>
            <w:vAlign w:val="center"/>
          </w:tcPr>
          <w:p w14:paraId="2E87E0EF">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手术室管理</w:t>
            </w:r>
          </w:p>
        </w:tc>
        <w:tc>
          <w:tcPr>
            <w:tcW w:w="6973" w:type="dxa"/>
            <w:vAlign w:val="top"/>
          </w:tcPr>
          <w:p w14:paraId="60447F6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拥有独立的手术室管理模块，符合手术室输血的流程和规范</w:t>
            </w:r>
            <w:r>
              <w:rPr>
                <w:rFonts w:hint="eastAsia" w:ascii="宋体" w:hAnsi="宋体" w:eastAsia="宋体" w:cs="宋体"/>
                <w:bCs/>
                <w:color w:val="auto"/>
                <w:kern w:val="0"/>
                <w:sz w:val="24"/>
                <w:szCs w:val="24"/>
                <w:highlight w:val="none"/>
                <w:lang w:eastAsia="zh-CN"/>
              </w:rPr>
              <w:t>。</w:t>
            </w:r>
          </w:p>
          <w:p w14:paraId="30368C0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拥有独立的麻醉科医生主页</w:t>
            </w:r>
            <w:r>
              <w:rPr>
                <w:rFonts w:hint="eastAsia" w:ascii="宋体" w:hAnsi="宋体" w:eastAsia="宋体" w:cs="宋体"/>
                <w:bCs/>
                <w:color w:val="auto"/>
                <w:kern w:val="0"/>
                <w:sz w:val="24"/>
                <w:szCs w:val="24"/>
                <w:highlight w:val="none"/>
                <w:lang w:eastAsia="zh-CN"/>
              </w:rPr>
              <w:t>。</w:t>
            </w:r>
          </w:p>
          <w:p w14:paraId="1EC07B4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独立的手术室输血模块，符合手术室输血的流程和规范</w:t>
            </w:r>
            <w:r>
              <w:rPr>
                <w:rFonts w:hint="eastAsia" w:ascii="宋体" w:hAnsi="宋体" w:eastAsia="宋体" w:cs="宋体"/>
                <w:bCs/>
                <w:color w:val="auto"/>
                <w:kern w:val="0"/>
                <w:sz w:val="24"/>
                <w:szCs w:val="24"/>
                <w:highlight w:val="none"/>
                <w:lang w:eastAsia="zh-CN"/>
              </w:rPr>
              <w:t>。</w:t>
            </w:r>
          </w:p>
          <w:p w14:paraId="6908372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手术室病人管理病人转入（血袋移入）、手术中输血记录、手术室转出（血袋移出）</w:t>
            </w:r>
            <w:r>
              <w:rPr>
                <w:rFonts w:hint="eastAsia" w:ascii="宋体" w:hAnsi="宋体" w:eastAsia="宋体" w:cs="宋体"/>
                <w:bCs/>
                <w:color w:val="auto"/>
                <w:kern w:val="0"/>
                <w:sz w:val="24"/>
                <w:szCs w:val="24"/>
                <w:highlight w:val="none"/>
                <w:lang w:eastAsia="zh-CN"/>
              </w:rPr>
              <w:t>。</w:t>
            </w:r>
          </w:p>
          <w:p w14:paraId="0BBBB73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手术室字体输血管理（稀释试自体输血、回收试自体输血）</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 xml:space="preserve"> </w:t>
            </w:r>
          </w:p>
          <w:p w14:paraId="1B8DBE5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手术用血相关统计可以准确统计术前、术中、术后患者用血</w:t>
            </w:r>
            <w:r>
              <w:rPr>
                <w:rFonts w:hint="eastAsia" w:ascii="宋体" w:hAnsi="宋体" w:eastAsia="宋体" w:cs="宋体"/>
                <w:bCs/>
                <w:color w:val="auto"/>
                <w:kern w:val="0"/>
                <w:sz w:val="24"/>
                <w:szCs w:val="24"/>
                <w:highlight w:val="none"/>
                <w:lang w:eastAsia="zh-CN"/>
              </w:rPr>
              <w:t>。</w:t>
            </w:r>
          </w:p>
        </w:tc>
      </w:tr>
      <w:tr w14:paraId="597EB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920" w:type="dxa"/>
            <w:vAlign w:val="center"/>
          </w:tcPr>
          <w:p w14:paraId="39D4CD75">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54．</w:t>
            </w:r>
            <w:r>
              <w:rPr>
                <w:rFonts w:hint="eastAsia" w:ascii="宋体" w:hAnsi="宋体" w:eastAsia="宋体" w:cs="宋体"/>
                <w:b/>
                <w:color w:val="auto"/>
                <w:sz w:val="24"/>
                <w:szCs w:val="24"/>
                <w:highlight w:val="none"/>
              </w:rPr>
              <w:t>医务科管理</w:t>
            </w:r>
          </w:p>
        </w:tc>
        <w:tc>
          <w:tcPr>
            <w:tcW w:w="1845" w:type="dxa"/>
            <w:vAlign w:val="center"/>
          </w:tcPr>
          <w:p w14:paraId="6A0004AF">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医务科管理</w:t>
            </w:r>
          </w:p>
        </w:tc>
        <w:tc>
          <w:tcPr>
            <w:tcW w:w="6973" w:type="dxa"/>
            <w:vAlign w:val="top"/>
          </w:tcPr>
          <w:p w14:paraId="12EA253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独立的医务科管理模块，可以完成医务科工作</w:t>
            </w:r>
            <w:r>
              <w:rPr>
                <w:rFonts w:hint="eastAsia" w:ascii="宋体" w:hAnsi="宋体" w:eastAsia="宋体" w:cs="宋体"/>
                <w:bCs/>
                <w:color w:val="auto"/>
                <w:kern w:val="0"/>
                <w:sz w:val="24"/>
                <w:szCs w:val="24"/>
                <w:highlight w:val="none"/>
                <w:lang w:eastAsia="zh-CN"/>
              </w:rPr>
              <w:t>。</w:t>
            </w:r>
          </w:p>
          <w:p w14:paraId="54B6891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大量用血提醒、审批功能</w:t>
            </w:r>
            <w:r>
              <w:rPr>
                <w:rFonts w:hint="eastAsia" w:ascii="宋体" w:hAnsi="宋体" w:eastAsia="宋体" w:cs="宋体"/>
                <w:bCs/>
                <w:color w:val="auto"/>
                <w:kern w:val="0"/>
                <w:sz w:val="24"/>
                <w:szCs w:val="24"/>
                <w:highlight w:val="none"/>
                <w:lang w:eastAsia="zh-CN"/>
              </w:rPr>
              <w:t>。</w:t>
            </w:r>
          </w:p>
          <w:p w14:paraId="06DCD90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医务科输血管理相关统计、分析</w:t>
            </w:r>
            <w:r>
              <w:rPr>
                <w:rFonts w:hint="eastAsia" w:ascii="宋体" w:hAnsi="宋体" w:eastAsia="宋体" w:cs="宋体"/>
                <w:bCs/>
                <w:color w:val="auto"/>
                <w:kern w:val="0"/>
                <w:sz w:val="24"/>
                <w:szCs w:val="24"/>
                <w:highlight w:val="none"/>
                <w:lang w:eastAsia="zh-CN"/>
              </w:rPr>
              <w:t>。</w:t>
            </w:r>
          </w:p>
        </w:tc>
      </w:tr>
      <w:tr w14:paraId="3BF9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7" w:hRule="atLeast"/>
          <w:jc w:val="center"/>
        </w:trPr>
        <w:tc>
          <w:tcPr>
            <w:tcW w:w="920" w:type="dxa"/>
            <w:vAlign w:val="center"/>
          </w:tcPr>
          <w:p w14:paraId="1D637F11">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55．</w:t>
            </w:r>
            <w:r>
              <w:rPr>
                <w:rFonts w:hint="eastAsia" w:ascii="宋体" w:hAnsi="宋体" w:eastAsia="宋体" w:cs="宋体"/>
                <w:b/>
                <w:color w:val="auto"/>
                <w:sz w:val="24"/>
                <w:szCs w:val="24"/>
                <w:highlight w:val="none"/>
              </w:rPr>
              <w:t>输血单病种管理</w:t>
            </w:r>
          </w:p>
        </w:tc>
        <w:tc>
          <w:tcPr>
            <w:tcW w:w="1845" w:type="dxa"/>
            <w:vAlign w:val="center"/>
          </w:tcPr>
          <w:p w14:paraId="6482791F">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输血单病种管理</w:t>
            </w:r>
          </w:p>
        </w:tc>
        <w:tc>
          <w:tcPr>
            <w:tcW w:w="6973" w:type="dxa"/>
            <w:vAlign w:val="top"/>
          </w:tcPr>
          <w:p w14:paraId="3C550D6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完整的输血单病种管理知识库</w:t>
            </w:r>
            <w:r>
              <w:rPr>
                <w:rFonts w:hint="eastAsia" w:ascii="宋体" w:hAnsi="宋体" w:eastAsia="宋体" w:cs="宋体"/>
                <w:bCs/>
                <w:color w:val="auto"/>
                <w:kern w:val="0"/>
                <w:sz w:val="24"/>
                <w:szCs w:val="24"/>
                <w:highlight w:val="none"/>
                <w:lang w:eastAsia="zh-CN"/>
              </w:rPr>
              <w:t>。</w:t>
            </w:r>
          </w:p>
          <w:p w14:paraId="10E263D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内科（肝病、血液病，遗传疾病）</w:t>
            </w:r>
            <w:r>
              <w:rPr>
                <w:rFonts w:hint="eastAsia" w:ascii="宋体" w:hAnsi="宋体" w:eastAsia="宋体" w:cs="宋体"/>
                <w:bCs/>
                <w:color w:val="auto"/>
                <w:kern w:val="0"/>
                <w:sz w:val="24"/>
                <w:szCs w:val="24"/>
                <w:highlight w:val="none"/>
                <w:lang w:eastAsia="zh-CN"/>
              </w:rPr>
              <w:t>。</w:t>
            </w:r>
          </w:p>
          <w:p w14:paraId="1FB3ECF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外科（各脏器手术，骨科、肿瘤、烧伤）</w:t>
            </w:r>
            <w:r>
              <w:rPr>
                <w:rFonts w:hint="eastAsia" w:ascii="宋体" w:hAnsi="宋体" w:eastAsia="宋体" w:cs="宋体"/>
                <w:bCs/>
                <w:color w:val="auto"/>
                <w:kern w:val="0"/>
                <w:sz w:val="24"/>
                <w:szCs w:val="24"/>
                <w:highlight w:val="none"/>
                <w:lang w:eastAsia="zh-CN"/>
              </w:rPr>
              <w:t>。</w:t>
            </w:r>
          </w:p>
          <w:p w14:paraId="51C48F0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妇产科（产后出血、妊娠合并、妇科肿瘤）</w:t>
            </w:r>
            <w:r>
              <w:rPr>
                <w:rFonts w:hint="eastAsia" w:ascii="宋体" w:hAnsi="宋体" w:eastAsia="宋体" w:cs="宋体"/>
                <w:bCs/>
                <w:color w:val="auto"/>
                <w:kern w:val="0"/>
                <w:sz w:val="24"/>
                <w:szCs w:val="24"/>
                <w:highlight w:val="none"/>
                <w:lang w:eastAsia="zh-CN"/>
              </w:rPr>
              <w:t>。</w:t>
            </w:r>
          </w:p>
          <w:p w14:paraId="5E75987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移植（肝、肾、造血干细胞）</w:t>
            </w:r>
            <w:r>
              <w:rPr>
                <w:rFonts w:hint="eastAsia" w:ascii="宋体" w:hAnsi="宋体" w:eastAsia="宋体" w:cs="宋体"/>
                <w:bCs/>
                <w:color w:val="auto"/>
                <w:kern w:val="0"/>
                <w:sz w:val="24"/>
                <w:szCs w:val="24"/>
                <w:highlight w:val="none"/>
                <w:lang w:eastAsia="zh-CN"/>
              </w:rPr>
              <w:t>。</w:t>
            </w:r>
          </w:p>
          <w:p w14:paraId="165AA68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知识库内科、外科、妇产科、组织与器官移植中所有的40多大类单病种输血前评估、推荐输血量、血液保护措施、输血注意事项、输血适应症评估规则，输血量评估规则</w:t>
            </w:r>
            <w:r>
              <w:rPr>
                <w:rFonts w:hint="eastAsia" w:ascii="宋体" w:hAnsi="宋体" w:eastAsia="宋体" w:cs="宋体"/>
                <w:bCs/>
                <w:color w:val="auto"/>
                <w:kern w:val="0"/>
                <w:sz w:val="24"/>
                <w:szCs w:val="24"/>
                <w:highlight w:val="none"/>
                <w:lang w:eastAsia="zh-CN"/>
              </w:rPr>
              <w:t>。</w:t>
            </w:r>
          </w:p>
          <w:p w14:paraId="300029F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输血单病种支持和医院诊断对照</w:t>
            </w:r>
            <w:r>
              <w:rPr>
                <w:rFonts w:hint="eastAsia" w:ascii="宋体" w:hAnsi="宋体" w:eastAsia="宋体" w:cs="宋体"/>
                <w:bCs/>
                <w:color w:val="auto"/>
                <w:kern w:val="0"/>
                <w:sz w:val="24"/>
                <w:szCs w:val="24"/>
                <w:highlight w:val="none"/>
                <w:lang w:eastAsia="zh-CN"/>
              </w:rPr>
              <w:t>。</w:t>
            </w:r>
          </w:p>
          <w:p w14:paraId="6B4E3FF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输血申请如果符合单病种自动展现单病种内容，申请医生可以查看</w:t>
            </w:r>
            <w:r>
              <w:rPr>
                <w:rFonts w:hint="eastAsia" w:ascii="宋体" w:hAnsi="宋体" w:eastAsia="宋体" w:cs="宋体"/>
                <w:bCs/>
                <w:color w:val="auto"/>
                <w:kern w:val="0"/>
                <w:sz w:val="24"/>
                <w:szCs w:val="24"/>
                <w:highlight w:val="none"/>
                <w:lang w:eastAsia="zh-CN"/>
              </w:rPr>
              <w:t>。</w:t>
            </w:r>
          </w:p>
          <w:p w14:paraId="6714663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输血前评估可以根据患者诊断自动调用单病种知识库中的适应症评估</w:t>
            </w:r>
            <w:r>
              <w:rPr>
                <w:rFonts w:hint="eastAsia" w:ascii="宋体" w:hAnsi="宋体" w:eastAsia="宋体" w:cs="宋体"/>
                <w:bCs/>
                <w:color w:val="auto"/>
                <w:kern w:val="0"/>
                <w:sz w:val="24"/>
                <w:szCs w:val="24"/>
                <w:highlight w:val="none"/>
                <w:lang w:eastAsia="zh-CN"/>
              </w:rPr>
              <w:t>。</w:t>
            </w:r>
          </w:p>
        </w:tc>
      </w:tr>
      <w:tr w14:paraId="7FF9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920" w:type="dxa"/>
            <w:vMerge w:val="restart"/>
            <w:vAlign w:val="center"/>
          </w:tcPr>
          <w:p w14:paraId="3E78632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56．</w:t>
            </w:r>
            <w:r>
              <w:rPr>
                <w:rFonts w:hint="eastAsia" w:ascii="宋体" w:hAnsi="宋体" w:eastAsia="宋体" w:cs="宋体"/>
                <w:b/>
                <w:color w:val="auto"/>
                <w:sz w:val="24"/>
                <w:szCs w:val="24"/>
                <w:highlight w:val="none"/>
              </w:rPr>
              <w:t>输血不良反应管理</w:t>
            </w:r>
          </w:p>
        </w:tc>
        <w:tc>
          <w:tcPr>
            <w:tcW w:w="1845" w:type="dxa"/>
            <w:vAlign w:val="center"/>
          </w:tcPr>
          <w:p w14:paraId="62F219FC">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护士站不良反应登记</w:t>
            </w:r>
          </w:p>
        </w:tc>
        <w:tc>
          <w:tcPr>
            <w:tcW w:w="6973" w:type="dxa"/>
            <w:vAlign w:val="top"/>
          </w:tcPr>
          <w:p w14:paraId="67B9F7D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支持不良反应登记发生时间、发生节点、麻醉状态、患者体征</w:t>
            </w:r>
            <w:r>
              <w:rPr>
                <w:rFonts w:hint="eastAsia" w:ascii="宋体" w:hAnsi="宋体" w:eastAsia="宋体" w:cs="宋体"/>
                <w:bCs/>
                <w:color w:val="auto"/>
                <w:kern w:val="0"/>
                <w:sz w:val="24"/>
                <w:szCs w:val="24"/>
                <w:highlight w:val="none"/>
                <w:lang w:eastAsia="zh-CN"/>
              </w:rPr>
              <w:t>。</w:t>
            </w:r>
          </w:p>
          <w:p w14:paraId="6F7A8E4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支持不良反应症状登记</w:t>
            </w:r>
            <w:r>
              <w:rPr>
                <w:rFonts w:hint="eastAsia" w:ascii="宋体" w:hAnsi="宋体" w:eastAsia="宋体" w:cs="宋体"/>
                <w:bCs/>
                <w:color w:val="auto"/>
                <w:kern w:val="0"/>
                <w:sz w:val="24"/>
                <w:szCs w:val="24"/>
                <w:highlight w:val="none"/>
                <w:lang w:eastAsia="zh-CN"/>
              </w:rPr>
              <w:t>。</w:t>
            </w:r>
          </w:p>
          <w:p w14:paraId="40C6D23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支持不良反应调查结果登记</w:t>
            </w:r>
            <w:r>
              <w:rPr>
                <w:rFonts w:hint="eastAsia" w:ascii="宋体" w:hAnsi="宋体" w:eastAsia="宋体" w:cs="宋体"/>
                <w:bCs/>
                <w:color w:val="auto"/>
                <w:kern w:val="0"/>
                <w:sz w:val="24"/>
                <w:szCs w:val="24"/>
                <w:highlight w:val="none"/>
                <w:lang w:eastAsia="zh-CN"/>
              </w:rPr>
              <w:t>。</w:t>
            </w:r>
          </w:p>
          <w:p w14:paraId="2AD5165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支持不良反应处理内容登记</w:t>
            </w:r>
            <w:r>
              <w:rPr>
                <w:rFonts w:hint="eastAsia" w:ascii="宋体" w:hAnsi="宋体" w:eastAsia="宋体" w:cs="宋体"/>
                <w:bCs/>
                <w:color w:val="auto"/>
                <w:kern w:val="0"/>
                <w:sz w:val="24"/>
                <w:szCs w:val="24"/>
                <w:highlight w:val="none"/>
                <w:lang w:eastAsia="zh-CN"/>
              </w:rPr>
              <w:t>。</w:t>
            </w:r>
          </w:p>
        </w:tc>
      </w:tr>
      <w:tr w14:paraId="222C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920" w:type="dxa"/>
            <w:vMerge w:val="continue"/>
            <w:vAlign w:val="center"/>
          </w:tcPr>
          <w:p w14:paraId="1060900F">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1851E1B4">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医生站不良反应处置</w:t>
            </w:r>
          </w:p>
        </w:tc>
        <w:tc>
          <w:tcPr>
            <w:tcW w:w="6973" w:type="dxa"/>
            <w:vAlign w:val="top"/>
          </w:tcPr>
          <w:p w14:paraId="31403B3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支持不良反应类型登记</w:t>
            </w:r>
            <w:r>
              <w:rPr>
                <w:rFonts w:hint="eastAsia" w:ascii="宋体" w:hAnsi="宋体" w:eastAsia="宋体" w:cs="宋体"/>
                <w:bCs/>
                <w:color w:val="auto"/>
                <w:kern w:val="0"/>
                <w:sz w:val="24"/>
                <w:szCs w:val="24"/>
                <w:highlight w:val="none"/>
                <w:lang w:eastAsia="zh-CN"/>
              </w:rPr>
              <w:t>。</w:t>
            </w:r>
          </w:p>
          <w:p w14:paraId="0EDC79F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支持不良反应严重程度、原因分析、归转登记</w:t>
            </w:r>
            <w:r>
              <w:rPr>
                <w:rFonts w:hint="eastAsia" w:ascii="宋体" w:hAnsi="宋体" w:eastAsia="宋体" w:cs="宋体"/>
                <w:bCs/>
                <w:color w:val="auto"/>
                <w:kern w:val="0"/>
                <w:sz w:val="24"/>
                <w:szCs w:val="24"/>
                <w:highlight w:val="none"/>
                <w:lang w:eastAsia="zh-CN"/>
              </w:rPr>
              <w:t>。</w:t>
            </w:r>
          </w:p>
          <w:p w14:paraId="24BFC64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支持不良反应治疗措施登记</w:t>
            </w:r>
            <w:r>
              <w:rPr>
                <w:rFonts w:hint="eastAsia" w:ascii="宋体" w:hAnsi="宋体" w:eastAsia="宋体" w:cs="宋体"/>
                <w:bCs/>
                <w:color w:val="auto"/>
                <w:kern w:val="0"/>
                <w:sz w:val="24"/>
                <w:szCs w:val="24"/>
                <w:highlight w:val="none"/>
                <w:lang w:eastAsia="zh-CN"/>
              </w:rPr>
              <w:t>。</w:t>
            </w:r>
          </w:p>
          <w:p w14:paraId="63D3646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支持不良处置结论登记</w:t>
            </w:r>
            <w:r>
              <w:rPr>
                <w:rFonts w:hint="eastAsia" w:ascii="宋体" w:hAnsi="宋体" w:eastAsia="宋体" w:cs="宋体"/>
                <w:bCs/>
                <w:color w:val="auto"/>
                <w:kern w:val="0"/>
                <w:sz w:val="24"/>
                <w:szCs w:val="24"/>
                <w:highlight w:val="none"/>
                <w:lang w:eastAsia="zh-CN"/>
              </w:rPr>
              <w:t>。</w:t>
            </w:r>
          </w:p>
        </w:tc>
      </w:tr>
      <w:tr w14:paraId="77EB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20" w:type="dxa"/>
            <w:vMerge w:val="continue"/>
            <w:vAlign w:val="center"/>
          </w:tcPr>
          <w:p w14:paraId="2B225290">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5BC6B628">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输血科不良反应处置</w:t>
            </w:r>
          </w:p>
        </w:tc>
        <w:tc>
          <w:tcPr>
            <w:tcW w:w="6973" w:type="dxa"/>
            <w:vAlign w:val="top"/>
          </w:tcPr>
          <w:p w14:paraId="35346A6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支持反应类型登记</w:t>
            </w:r>
            <w:r>
              <w:rPr>
                <w:rFonts w:hint="eastAsia" w:ascii="宋体" w:hAnsi="宋体" w:eastAsia="宋体" w:cs="宋体"/>
                <w:bCs/>
                <w:color w:val="auto"/>
                <w:kern w:val="0"/>
                <w:sz w:val="24"/>
                <w:szCs w:val="24"/>
                <w:highlight w:val="none"/>
                <w:lang w:eastAsia="zh-CN"/>
              </w:rPr>
              <w:t>。</w:t>
            </w:r>
          </w:p>
          <w:p w14:paraId="411D97F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支持处理意见登记</w:t>
            </w:r>
            <w:r>
              <w:rPr>
                <w:rFonts w:hint="eastAsia" w:ascii="宋体" w:hAnsi="宋体" w:eastAsia="宋体" w:cs="宋体"/>
                <w:bCs/>
                <w:color w:val="auto"/>
                <w:kern w:val="0"/>
                <w:sz w:val="24"/>
                <w:szCs w:val="24"/>
                <w:highlight w:val="none"/>
                <w:lang w:eastAsia="zh-CN"/>
              </w:rPr>
              <w:t>。</w:t>
            </w:r>
          </w:p>
        </w:tc>
      </w:tr>
      <w:tr w14:paraId="2B8B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atLeast"/>
          <w:jc w:val="center"/>
        </w:trPr>
        <w:tc>
          <w:tcPr>
            <w:tcW w:w="920" w:type="dxa"/>
            <w:vAlign w:val="center"/>
          </w:tcPr>
          <w:p w14:paraId="68C5D8FD">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57．</w:t>
            </w:r>
            <w:r>
              <w:rPr>
                <w:rFonts w:hint="eastAsia" w:ascii="宋体" w:hAnsi="宋体" w:eastAsia="宋体" w:cs="宋体"/>
                <w:b/>
                <w:color w:val="auto"/>
                <w:sz w:val="24"/>
                <w:szCs w:val="24"/>
                <w:highlight w:val="none"/>
              </w:rPr>
              <w:t>闭环消息提醒</w:t>
            </w:r>
          </w:p>
        </w:tc>
        <w:tc>
          <w:tcPr>
            <w:tcW w:w="1845" w:type="dxa"/>
            <w:vAlign w:val="center"/>
          </w:tcPr>
          <w:p w14:paraId="51429A68">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闭环消息提醒</w:t>
            </w:r>
          </w:p>
        </w:tc>
        <w:tc>
          <w:tcPr>
            <w:tcW w:w="6973" w:type="dxa"/>
            <w:vAlign w:val="top"/>
          </w:tcPr>
          <w:p w14:paraId="3AA3A87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多种消息提醒方式自定义（右下角弹框提醒、全屏提醒、锁屏提醒等）</w:t>
            </w:r>
            <w:r>
              <w:rPr>
                <w:rFonts w:hint="eastAsia" w:ascii="宋体" w:hAnsi="宋体" w:eastAsia="宋体" w:cs="宋体"/>
                <w:bCs/>
                <w:color w:val="auto"/>
                <w:kern w:val="0"/>
                <w:sz w:val="24"/>
                <w:szCs w:val="24"/>
                <w:highlight w:val="none"/>
                <w:lang w:eastAsia="zh-CN"/>
              </w:rPr>
              <w:t>。</w:t>
            </w:r>
          </w:p>
          <w:p w14:paraId="1FAF1F5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支持消息语音提醒</w:t>
            </w:r>
            <w:r>
              <w:rPr>
                <w:rFonts w:hint="eastAsia" w:ascii="宋体" w:hAnsi="宋体" w:eastAsia="宋体" w:cs="宋体"/>
                <w:bCs/>
                <w:color w:val="auto"/>
                <w:kern w:val="0"/>
                <w:sz w:val="24"/>
                <w:szCs w:val="24"/>
                <w:highlight w:val="none"/>
                <w:lang w:eastAsia="zh-CN"/>
              </w:rPr>
              <w:t>。</w:t>
            </w:r>
          </w:p>
          <w:p w14:paraId="100528B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多个消息提醒客户端位置自定义（医生站、护士站、门诊、医务处、护工）</w:t>
            </w:r>
            <w:r>
              <w:rPr>
                <w:rFonts w:hint="eastAsia" w:ascii="宋体" w:hAnsi="宋体" w:eastAsia="宋体" w:cs="宋体"/>
                <w:bCs/>
                <w:color w:val="auto"/>
                <w:kern w:val="0"/>
                <w:sz w:val="24"/>
                <w:szCs w:val="24"/>
                <w:highlight w:val="none"/>
                <w:lang w:eastAsia="zh-CN"/>
              </w:rPr>
              <w:t>。</w:t>
            </w:r>
          </w:p>
          <w:p w14:paraId="43E762B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全流程闭环消息提醒设置(输血单审核不通过提醒、大量用血审批提醒、取血通知提醒、血袋发血后效期报警提醒、用血巡视提醒、输血结束提醒、输血后巡视提醒、用血评价提醒、血袋回收提醒、血袋销毁提醒)</w:t>
            </w:r>
            <w:r>
              <w:rPr>
                <w:rFonts w:hint="eastAsia" w:ascii="宋体" w:hAnsi="宋体" w:eastAsia="宋体" w:cs="宋体"/>
                <w:bCs/>
                <w:color w:val="auto"/>
                <w:kern w:val="0"/>
                <w:sz w:val="24"/>
                <w:szCs w:val="24"/>
                <w:highlight w:val="none"/>
                <w:lang w:eastAsia="zh-CN"/>
              </w:rPr>
              <w:t>。</w:t>
            </w:r>
          </w:p>
        </w:tc>
      </w:tr>
      <w:tr w14:paraId="134E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920" w:type="dxa"/>
            <w:vAlign w:val="center"/>
          </w:tcPr>
          <w:p w14:paraId="21D34B72">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58．</w:t>
            </w:r>
            <w:r>
              <w:rPr>
                <w:rFonts w:hint="eastAsia" w:ascii="宋体" w:hAnsi="宋体" w:eastAsia="宋体" w:cs="宋体"/>
                <w:b/>
                <w:color w:val="auto"/>
                <w:sz w:val="24"/>
                <w:szCs w:val="24"/>
                <w:highlight w:val="none"/>
              </w:rPr>
              <w:t>库位管理</w:t>
            </w:r>
          </w:p>
        </w:tc>
        <w:tc>
          <w:tcPr>
            <w:tcW w:w="1845" w:type="dxa"/>
            <w:vAlign w:val="center"/>
          </w:tcPr>
          <w:p w14:paraId="2635F5DE">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contextualSpacing/>
              <w:jc w:val="center"/>
              <w:textAlignment w:val="auto"/>
              <w:rPr>
                <w:rFonts w:hint="eastAsia" w:ascii="宋体" w:hAnsi="宋体" w:eastAsia="宋体" w:cs="宋体"/>
                <w:b/>
                <w:bCs/>
                <w:color w:val="auto"/>
                <w:kern w:val="0"/>
                <w:sz w:val="24"/>
                <w:szCs w:val="24"/>
                <w:highlight w:val="none"/>
                <w:lang w:val="en-US" w:eastAsia="en-US" w:bidi="ar-SA"/>
              </w:rPr>
            </w:pPr>
            <w:r>
              <w:rPr>
                <w:rFonts w:hint="eastAsia" w:ascii="宋体" w:hAnsi="宋体" w:eastAsia="宋体" w:cs="宋体"/>
                <w:b/>
                <w:bCs/>
                <w:color w:val="auto"/>
                <w:kern w:val="0"/>
                <w:sz w:val="24"/>
                <w:szCs w:val="24"/>
                <w:highlight w:val="none"/>
                <w:lang w:val="en-US" w:eastAsia="en-US" w:bidi="ar-SA"/>
              </w:rPr>
              <w:t>库位管理</w:t>
            </w:r>
          </w:p>
        </w:tc>
        <w:tc>
          <w:tcPr>
            <w:tcW w:w="6973" w:type="dxa"/>
            <w:vAlign w:val="top"/>
          </w:tcPr>
          <w:p w14:paraId="45703B8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血袋、血袋小辫、患者血样库位管理</w:t>
            </w:r>
          </w:p>
          <w:p w14:paraId="4E32864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可以自定义所属冰箱、行、列方式形成库位架子</w:t>
            </w:r>
          </w:p>
          <w:p w14:paraId="354B414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血袋入库时，自动分配血袋库位号</w:t>
            </w:r>
          </w:p>
          <w:p w14:paraId="146C00D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交叉配血界面可以显示血袋、血袋小辫、患者血样库位方便取血</w:t>
            </w:r>
          </w:p>
        </w:tc>
      </w:tr>
      <w:tr w14:paraId="31F9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atLeast"/>
          <w:jc w:val="center"/>
        </w:trPr>
        <w:tc>
          <w:tcPr>
            <w:tcW w:w="920" w:type="dxa"/>
            <w:vMerge w:val="restart"/>
            <w:vAlign w:val="center"/>
          </w:tcPr>
          <w:p w14:paraId="0E4726D7">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59．</w:t>
            </w:r>
            <w:r>
              <w:rPr>
                <w:rFonts w:hint="eastAsia" w:ascii="宋体" w:hAnsi="宋体" w:eastAsia="宋体" w:cs="宋体"/>
                <w:b/>
                <w:color w:val="auto"/>
                <w:sz w:val="24"/>
                <w:szCs w:val="24"/>
                <w:highlight w:val="none"/>
              </w:rPr>
              <w:t>输血科工作站</w:t>
            </w:r>
          </w:p>
        </w:tc>
        <w:tc>
          <w:tcPr>
            <w:tcW w:w="1845" w:type="dxa"/>
            <w:vAlign w:val="center"/>
          </w:tcPr>
          <w:p w14:paraId="4C49E858">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血袋入库</w:t>
            </w:r>
          </w:p>
        </w:tc>
        <w:tc>
          <w:tcPr>
            <w:tcW w:w="6973" w:type="dxa"/>
            <w:vAlign w:val="top"/>
          </w:tcPr>
          <w:p w14:paraId="1901DB2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支持血液手工入库</w:t>
            </w:r>
          </w:p>
          <w:p w14:paraId="20FBA2D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bookmarkStart w:id="241" w:name="_Toc12848"/>
            <w:bookmarkStart w:id="242" w:name="_Toc322074336"/>
            <w:r>
              <w:rPr>
                <w:rFonts w:hint="eastAsia" w:ascii="宋体" w:hAnsi="宋体" w:eastAsia="宋体" w:cs="宋体"/>
                <w:bCs/>
                <w:color w:val="auto"/>
                <w:kern w:val="0"/>
                <w:sz w:val="24"/>
                <w:szCs w:val="24"/>
                <w:highlight w:val="none"/>
              </w:rPr>
              <w:t>支持血站文件导入</w:t>
            </w:r>
            <w:bookmarkEnd w:id="241"/>
            <w:bookmarkEnd w:id="242"/>
          </w:p>
          <w:p w14:paraId="4974CBF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bookmarkStart w:id="243" w:name="_Toc322074338"/>
            <w:bookmarkStart w:id="244" w:name="_Toc5809"/>
            <w:r>
              <w:rPr>
                <w:rFonts w:hint="eastAsia" w:ascii="宋体" w:hAnsi="宋体" w:eastAsia="宋体" w:cs="宋体"/>
                <w:bCs/>
                <w:color w:val="auto"/>
                <w:kern w:val="0"/>
                <w:sz w:val="24"/>
                <w:szCs w:val="24"/>
                <w:highlight w:val="none"/>
              </w:rPr>
              <w:t>支持手工快速入库</w:t>
            </w:r>
            <w:bookmarkEnd w:id="243"/>
            <w:bookmarkEnd w:id="244"/>
          </w:p>
          <w:p w14:paraId="65BED5F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支持和血站软件对接，通过接口入库</w:t>
            </w:r>
          </w:p>
          <w:p w14:paraId="028DA78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支持血液取消入库</w:t>
            </w:r>
          </w:p>
          <w:p w14:paraId="09626C8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入库血液血型复核</w:t>
            </w:r>
          </w:p>
          <w:p w14:paraId="0C63192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血液调拨出库、院内血液调入</w:t>
            </w:r>
          </w:p>
          <w:p w14:paraId="4514236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库存血液信息修改</w:t>
            </w:r>
          </w:p>
          <w:p w14:paraId="3F061F2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血液加工管理</w:t>
            </w:r>
          </w:p>
        </w:tc>
      </w:tr>
      <w:tr w14:paraId="7E4B6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920" w:type="dxa"/>
            <w:vMerge w:val="continue"/>
            <w:vAlign w:val="center"/>
          </w:tcPr>
          <w:p w14:paraId="537F49C0">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00ABDFF7">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库存血液管理</w:t>
            </w:r>
          </w:p>
        </w:tc>
        <w:tc>
          <w:tcPr>
            <w:tcW w:w="6973" w:type="dxa"/>
            <w:vAlign w:val="top"/>
          </w:tcPr>
          <w:p w14:paraId="685E7D8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库存血液效期报警</w:t>
            </w:r>
          </w:p>
          <w:p w14:paraId="44782C1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自定义库存血液是否开放申请、输血申请是否需要输血科审核、申请提示文字</w:t>
            </w:r>
          </w:p>
          <w:p w14:paraId="37C6634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支持临床医生申请时可以查看和提醒库存情况。</w:t>
            </w:r>
          </w:p>
          <w:p w14:paraId="78DED20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血袋报废管理申请、审批管理</w:t>
            </w:r>
          </w:p>
        </w:tc>
      </w:tr>
      <w:tr w14:paraId="1242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5" w:hRule="atLeast"/>
          <w:jc w:val="center"/>
        </w:trPr>
        <w:tc>
          <w:tcPr>
            <w:tcW w:w="920" w:type="dxa"/>
            <w:vMerge w:val="continue"/>
            <w:vAlign w:val="center"/>
          </w:tcPr>
          <w:p w14:paraId="07FFDB2F">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467408E9">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配发血管理</w:t>
            </w:r>
          </w:p>
        </w:tc>
        <w:tc>
          <w:tcPr>
            <w:tcW w:w="6973" w:type="dxa"/>
            <w:vAlign w:val="top"/>
          </w:tcPr>
          <w:p w14:paraId="1127D01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以申请单为主线进行配血管理，配血时可以查看输血前评估、申请单、检验信息、输血史、妊娠史、输血不良反应史、药物过敏史等等信息。</w:t>
            </w:r>
          </w:p>
          <w:p w14:paraId="1B921169">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firstLine="480" w:firstLineChars="200"/>
              <w:contextualSpacing/>
              <w:jc w:val="left"/>
              <w:textAlignment w:val="auto"/>
              <w:rPr>
                <w:rFonts w:hint="eastAsia" w:ascii="宋体" w:hAnsi="宋体" w:eastAsia="宋体" w:cs="宋体"/>
                <w:bCs/>
                <w:color w:val="auto"/>
                <w:kern w:val="0"/>
                <w:sz w:val="24"/>
                <w:szCs w:val="24"/>
                <w:highlight w:val="none"/>
                <w:lang w:val="en-US" w:eastAsia="en-US" w:bidi="ar-SA"/>
              </w:rPr>
            </w:pPr>
            <w:r>
              <w:rPr>
                <w:rFonts w:hint="eastAsia" w:ascii="宋体" w:hAnsi="宋体" w:eastAsia="宋体" w:cs="宋体"/>
                <w:bCs/>
                <w:color w:val="auto"/>
                <w:kern w:val="0"/>
                <w:sz w:val="24"/>
                <w:szCs w:val="24"/>
                <w:highlight w:val="none"/>
                <w:lang w:val="en-US" w:eastAsia="en-US" w:bidi="ar-SA"/>
              </w:rPr>
              <w:t>输血科工作站首页可以自动显示输血闭环过程中的各种实时数据包括待审核、不良反应待处置、待接收、待发血、待回收、待销毁各状态数据，智能统计和实时显示用血治疗控制指标要求的统计数据，可以汇总多日内用血申请量、多日内收费金额采用曲线显示</w:t>
            </w:r>
          </w:p>
          <w:p w14:paraId="791FCDE9">
            <w:pPr>
              <w:keepNext w:val="0"/>
              <w:keepLines w:val="0"/>
              <w:pageBreakBefore w:val="0"/>
              <w:widowControl/>
              <w:numPr>
                <w:ilvl w:val="0"/>
                <w:numId w:val="0"/>
              </w:numPr>
              <w:kinsoku/>
              <w:wordWrap/>
              <w:overflowPunct/>
              <w:topLinePunct w:val="0"/>
              <w:autoSpaceDE/>
              <w:autoSpaceDN/>
              <w:bidi w:val="0"/>
              <w:snapToGrid/>
              <w:spacing w:beforeAutospacing="0" w:afterAutospacing="0" w:line="300" w:lineRule="auto"/>
              <w:ind w:left="0" w:leftChars="0" w:firstLine="240" w:firstLineChars="100"/>
              <w:contextualSpacing/>
              <w:jc w:val="left"/>
              <w:textAlignment w:val="auto"/>
              <w:rPr>
                <w:rFonts w:hint="eastAsia" w:ascii="宋体" w:hAnsi="宋体" w:eastAsia="宋体" w:cs="宋体"/>
                <w:bCs/>
                <w:color w:val="auto"/>
                <w:kern w:val="0"/>
                <w:sz w:val="24"/>
                <w:szCs w:val="24"/>
                <w:highlight w:val="none"/>
                <w:lang w:val="en-US" w:eastAsia="en-US" w:bidi="ar-SA"/>
              </w:rPr>
            </w:pPr>
            <w:r>
              <w:rPr>
                <w:rFonts w:hint="eastAsia" w:ascii="宋体" w:hAnsi="宋体" w:eastAsia="宋体" w:cs="宋体"/>
                <w:bCs/>
                <w:color w:val="auto"/>
                <w:kern w:val="0"/>
                <w:sz w:val="24"/>
                <w:szCs w:val="24"/>
                <w:highlight w:val="none"/>
                <w:lang w:val="en-US" w:eastAsia="en-US" w:bidi="ar-SA"/>
              </w:rPr>
              <w:t>交叉配血界面左侧显示输血申请单的列表、支持未完成、待审核、待接收、待配血、待发血、已发血、待评价、待处理等多种状态过滤申请单，各种状态申请单不同颜色以及状态文字显示</w:t>
            </w:r>
          </w:p>
          <w:p w14:paraId="0C82C7F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相容性试验:支持备血标本的血型复核、不规则抗体筛查等检验，并支持历史血型结果的核对、相关检验历史结果的浏览等</w:t>
            </w:r>
          </w:p>
          <w:p w14:paraId="6EC778E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智能库血:支持通过患者 ABO、Rh(D)、Rh 分型等结果智能匹配接近有效期血液优先提示配血</w:t>
            </w:r>
          </w:p>
          <w:p w14:paraId="2C5576C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交叉配血:支持交叉配血合格后，打印包含患者和血液信息的条形码标签，便于临床进行电子核对:支持交叉配血不相合等特殊配血的特殊审核功能:支持仪器自动化配血功能</w:t>
            </w:r>
          </w:p>
          <w:p w14:paraId="4951AF1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取血通知：配血审核完成自动发送取血通知</w:t>
            </w:r>
          </w:p>
          <w:p w14:paraId="54E84B0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病历集成:配血时能调阅患者电子病历。</w:t>
            </w:r>
          </w:p>
          <w:p w14:paraId="2131176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特殊患者管理:对疑难配血患者信息进行标记，后续特殊患者配血时进行异常提示。</w:t>
            </w:r>
          </w:p>
          <w:p w14:paraId="2F2CDF1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配血单据、发血单据打印</w:t>
            </w:r>
            <w:r>
              <w:rPr>
                <w:rFonts w:hint="eastAsia" w:ascii="宋体" w:hAnsi="宋体" w:eastAsia="宋体" w:cs="宋体"/>
                <w:bCs/>
                <w:color w:val="auto"/>
                <w:kern w:val="0"/>
                <w:sz w:val="24"/>
                <w:szCs w:val="24"/>
                <w:highlight w:val="none"/>
                <w:lang w:eastAsia="zh-CN"/>
              </w:rPr>
              <w:t>。</w:t>
            </w:r>
          </w:p>
          <w:p w14:paraId="4ECF6FA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血液暂存管理</w:t>
            </w:r>
            <w:r>
              <w:rPr>
                <w:rFonts w:hint="eastAsia" w:ascii="宋体" w:hAnsi="宋体" w:eastAsia="宋体" w:cs="宋体"/>
                <w:bCs/>
                <w:color w:val="auto"/>
                <w:kern w:val="0"/>
                <w:sz w:val="24"/>
                <w:szCs w:val="24"/>
                <w:highlight w:val="none"/>
                <w:lang w:eastAsia="zh-CN"/>
              </w:rPr>
              <w:t>。</w:t>
            </w:r>
          </w:p>
        </w:tc>
      </w:tr>
      <w:tr w14:paraId="060E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920" w:type="dxa"/>
            <w:vMerge w:val="continue"/>
            <w:vAlign w:val="center"/>
          </w:tcPr>
          <w:p w14:paraId="5EDDA6D6">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6E4A0210">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审批管理</w:t>
            </w:r>
          </w:p>
        </w:tc>
        <w:tc>
          <w:tcPr>
            <w:tcW w:w="6973" w:type="dxa"/>
            <w:vAlign w:val="top"/>
          </w:tcPr>
          <w:p w14:paraId="229C6A5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大剂量用血申请审核管理</w:t>
            </w:r>
            <w:r>
              <w:rPr>
                <w:rFonts w:hint="eastAsia" w:ascii="宋体" w:hAnsi="宋体" w:eastAsia="宋体" w:cs="宋体"/>
                <w:bCs/>
                <w:color w:val="auto"/>
                <w:kern w:val="0"/>
                <w:sz w:val="24"/>
                <w:szCs w:val="24"/>
                <w:highlight w:val="none"/>
                <w:lang w:eastAsia="zh-CN"/>
              </w:rPr>
              <w:t>。</w:t>
            </w:r>
          </w:p>
          <w:p w14:paraId="72CBEF5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输血不良反应意见填写</w:t>
            </w:r>
            <w:r>
              <w:rPr>
                <w:rFonts w:hint="eastAsia" w:ascii="宋体" w:hAnsi="宋体" w:eastAsia="宋体" w:cs="宋体"/>
                <w:bCs/>
                <w:color w:val="auto"/>
                <w:kern w:val="0"/>
                <w:sz w:val="24"/>
                <w:szCs w:val="24"/>
                <w:highlight w:val="none"/>
                <w:lang w:eastAsia="zh-CN"/>
              </w:rPr>
              <w:t>。</w:t>
            </w:r>
          </w:p>
          <w:p w14:paraId="624A52C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支持对临床的用血疗效评价信息进行意见填写</w:t>
            </w:r>
            <w:r>
              <w:rPr>
                <w:rFonts w:hint="eastAsia" w:ascii="宋体" w:hAnsi="宋体" w:eastAsia="宋体" w:cs="宋体"/>
                <w:bCs/>
                <w:color w:val="auto"/>
                <w:kern w:val="0"/>
                <w:sz w:val="24"/>
                <w:szCs w:val="24"/>
                <w:highlight w:val="none"/>
                <w:lang w:eastAsia="zh-CN"/>
              </w:rPr>
              <w:t>。</w:t>
            </w:r>
          </w:p>
        </w:tc>
      </w:tr>
      <w:tr w14:paraId="369C4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20" w:type="dxa"/>
            <w:vMerge w:val="continue"/>
            <w:vAlign w:val="center"/>
          </w:tcPr>
          <w:p w14:paraId="7307FC4C">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49C723FE">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消息提醒</w:t>
            </w:r>
          </w:p>
        </w:tc>
        <w:tc>
          <w:tcPr>
            <w:tcW w:w="6973" w:type="dxa"/>
            <w:vAlign w:val="top"/>
          </w:tcPr>
          <w:p w14:paraId="5822F11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输血科消息提醒自定义是否启用，提示语言内容，提示消息包括：</w:t>
            </w:r>
          </w:p>
          <w:p w14:paraId="0F9D66B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输血申请待审核</w:t>
            </w:r>
            <w:r>
              <w:rPr>
                <w:rFonts w:hint="eastAsia" w:ascii="宋体" w:hAnsi="宋体" w:eastAsia="宋体" w:cs="宋体"/>
                <w:bCs/>
                <w:color w:val="auto"/>
                <w:kern w:val="0"/>
                <w:sz w:val="24"/>
                <w:szCs w:val="24"/>
                <w:highlight w:val="none"/>
                <w:lang w:eastAsia="zh-CN"/>
              </w:rPr>
              <w:t>。</w:t>
            </w:r>
          </w:p>
          <w:p w14:paraId="28141D4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大量用血待审核</w:t>
            </w:r>
            <w:r>
              <w:rPr>
                <w:rFonts w:hint="eastAsia" w:ascii="宋体" w:hAnsi="宋体" w:eastAsia="宋体" w:cs="宋体"/>
                <w:bCs/>
                <w:color w:val="auto"/>
                <w:kern w:val="0"/>
                <w:sz w:val="24"/>
                <w:szCs w:val="24"/>
                <w:highlight w:val="none"/>
                <w:lang w:eastAsia="zh-CN"/>
              </w:rPr>
              <w:t>。</w:t>
            </w:r>
          </w:p>
          <w:p w14:paraId="4350D6D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输血申请待接收提醒</w:t>
            </w:r>
            <w:r>
              <w:rPr>
                <w:rFonts w:hint="eastAsia" w:ascii="宋体" w:hAnsi="宋体" w:eastAsia="宋体" w:cs="宋体"/>
                <w:bCs/>
                <w:color w:val="auto"/>
                <w:kern w:val="0"/>
                <w:sz w:val="24"/>
                <w:szCs w:val="24"/>
                <w:highlight w:val="none"/>
                <w:lang w:eastAsia="zh-CN"/>
              </w:rPr>
              <w:t>。</w:t>
            </w:r>
          </w:p>
          <w:p w14:paraId="0A795D5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输血待评价提醒</w:t>
            </w:r>
            <w:r>
              <w:rPr>
                <w:rFonts w:hint="eastAsia" w:ascii="宋体" w:hAnsi="宋体" w:eastAsia="宋体" w:cs="宋体"/>
                <w:bCs/>
                <w:color w:val="auto"/>
                <w:kern w:val="0"/>
                <w:sz w:val="24"/>
                <w:szCs w:val="24"/>
                <w:highlight w:val="none"/>
                <w:lang w:eastAsia="zh-CN"/>
              </w:rPr>
              <w:t>。</w:t>
            </w:r>
          </w:p>
          <w:p w14:paraId="57B6A65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输血不良反应提醒</w:t>
            </w:r>
            <w:r>
              <w:rPr>
                <w:rFonts w:hint="eastAsia" w:ascii="宋体" w:hAnsi="宋体" w:eastAsia="宋体" w:cs="宋体"/>
                <w:bCs/>
                <w:color w:val="auto"/>
                <w:kern w:val="0"/>
                <w:sz w:val="24"/>
                <w:szCs w:val="24"/>
                <w:highlight w:val="none"/>
                <w:lang w:eastAsia="zh-CN"/>
              </w:rPr>
              <w:t>。</w:t>
            </w:r>
          </w:p>
          <w:p w14:paraId="04461AD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用血通知提醒</w:t>
            </w:r>
            <w:r>
              <w:rPr>
                <w:rFonts w:hint="eastAsia" w:ascii="宋体" w:hAnsi="宋体" w:eastAsia="宋体" w:cs="宋体"/>
                <w:bCs/>
                <w:color w:val="auto"/>
                <w:kern w:val="0"/>
                <w:sz w:val="24"/>
                <w:szCs w:val="24"/>
                <w:highlight w:val="none"/>
                <w:lang w:eastAsia="zh-CN"/>
              </w:rPr>
              <w:t>。</w:t>
            </w:r>
          </w:p>
          <w:p w14:paraId="352B4F1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血液待报废审核</w:t>
            </w:r>
            <w:r>
              <w:rPr>
                <w:rFonts w:hint="eastAsia" w:ascii="宋体" w:hAnsi="宋体" w:eastAsia="宋体" w:cs="宋体"/>
                <w:bCs/>
                <w:color w:val="auto"/>
                <w:kern w:val="0"/>
                <w:sz w:val="24"/>
                <w:szCs w:val="24"/>
                <w:highlight w:val="none"/>
                <w:lang w:eastAsia="zh-CN"/>
              </w:rPr>
              <w:t>。</w:t>
            </w:r>
          </w:p>
        </w:tc>
      </w:tr>
      <w:tr w14:paraId="698A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920" w:type="dxa"/>
            <w:vMerge w:val="continue"/>
            <w:vAlign w:val="center"/>
          </w:tcPr>
          <w:p w14:paraId="4ABBA90C">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p>
        </w:tc>
        <w:tc>
          <w:tcPr>
            <w:tcW w:w="1845" w:type="dxa"/>
            <w:vAlign w:val="center"/>
          </w:tcPr>
          <w:p w14:paraId="4529CEA5">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费用管理</w:t>
            </w:r>
          </w:p>
        </w:tc>
        <w:tc>
          <w:tcPr>
            <w:tcW w:w="6973" w:type="dxa"/>
            <w:vAlign w:val="top"/>
          </w:tcPr>
          <w:p w14:paraId="60E653D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支持根据血液成分、血型、规格、配血方法、费用归类等设置不同的计价规则。</w:t>
            </w:r>
          </w:p>
          <w:p w14:paraId="13ECF1D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当配血审核时自动计价配血费、血型检验费等，发血时自动计血费。</w:t>
            </w:r>
          </w:p>
          <w:p w14:paraId="21A2235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费用计价前支持弹框显示费用明细信息，支持人工修改费用数量。</w:t>
            </w:r>
          </w:p>
        </w:tc>
      </w:tr>
      <w:tr w14:paraId="212F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920" w:type="dxa"/>
            <w:vAlign w:val="center"/>
          </w:tcPr>
          <w:p w14:paraId="382520A1">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输血检验管理</w:t>
            </w:r>
          </w:p>
        </w:tc>
        <w:tc>
          <w:tcPr>
            <w:tcW w:w="1845" w:type="dxa"/>
            <w:vAlign w:val="center"/>
          </w:tcPr>
          <w:p w14:paraId="13ED3C8B">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输血检验</w:t>
            </w:r>
          </w:p>
        </w:tc>
        <w:tc>
          <w:tcPr>
            <w:tcW w:w="6973" w:type="dxa"/>
            <w:vAlign w:val="top"/>
          </w:tcPr>
          <w:p w14:paraId="56736F1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通过条形码扫描实现输血检验标本送达</w:t>
            </w:r>
            <w:r>
              <w:rPr>
                <w:rFonts w:hint="eastAsia" w:ascii="宋体" w:hAnsi="宋体" w:eastAsia="宋体" w:cs="宋体"/>
                <w:bCs/>
                <w:color w:val="auto"/>
                <w:kern w:val="0"/>
                <w:sz w:val="24"/>
                <w:szCs w:val="24"/>
                <w:highlight w:val="none"/>
                <w:lang w:eastAsia="zh-CN"/>
              </w:rPr>
              <w:t>。</w:t>
            </w:r>
          </w:p>
          <w:p w14:paraId="306849F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通过条形码扫描实现输血检验标本接收</w:t>
            </w:r>
            <w:r>
              <w:rPr>
                <w:rFonts w:hint="eastAsia" w:ascii="宋体" w:hAnsi="宋体" w:eastAsia="宋体" w:cs="宋体"/>
                <w:bCs/>
                <w:color w:val="auto"/>
                <w:kern w:val="0"/>
                <w:sz w:val="24"/>
                <w:szCs w:val="24"/>
                <w:highlight w:val="none"/>
                <w:lang w:eastAsia="zh-CN"/>
              </w:rPr>
              <w:t>。</w:t>
            </w:r>
          </w:p>
          <w:p w14:paraId="4706EF0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输血检验仪器联机管理</w:t>
            </w:r>
            <w:r>
              <w:rPr>
                <w:rFonts w:hint="eastAsia" w:ascii="宋体" w:hAnsi="宋体" w:eastAsia="宋体" w:cs="宋体"/>
                <w:bCs/>
                <w:color w:val="auto"/>
                <w:kern w:val="0"/>
                <w:sz w:val="24"/>
                <w:szCs w:val="24"/>
                <w:highlight w:val="none"/>
                <w:lang w:eastAsia="zh-CN"/>
              </w:rPr>
              <w:t>。</w:t>
            </w:r>
          </w:p>
          <w:p w14:paraId="4645A61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输血检验、报告审核、报告打印管理</w:t>
            </w:r>
            <w:r>
              <w:rPr>
                <w:rFonts w:hint="eastAsia" w:ascii="宋体" w:hAnsi="宋体" w:eastAsia="宋体" w:cs="宋体"/>
                <w:bCs/>
                <w:color w:val="auto"/>
                <w:kern w:val="0"/>
                <w:sz w:val="24"/>
                <w:szCs w:val="24"/>
                <w:highlight w:val="none"/>
                <w:lang w:eastAsia="zh-CN"/>
              </w:rPr>
              <w:t>。</w:t>
            </w:r>
          </w:p>
          <w:p w14:paraId="05A0189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检验危急值管理</w:t>
            </w:r>
            <w:r>
              <w:rPr>
                <w:rFonts w:hint="eastAsia" w:ascii="宋体" w:hAnsi="宋体" w:eastAsia="宋体" w:cs="宋体"/>
                <w:bCs/>
                <w:color w:val="auto"/>
                <w:kern w:val="0"/>
                <w:sz w:val="24"/>
                <w:szCs w:val="24"/>
                <w:highlight w:val="none"/>
                <w:lang w:eastAsia="zh-CN"/>
              </w:rPr>
              <w:t>。</w:t>
            </w:r>
          </w:p>
          <w:p w14:paraId="15DE999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检验质控管理</w:t>
            </w:r>
            <w:r>
              <w:rPr>
                <w:rFonts w:hint="eastAsia" w:ascii="宋体" w:hAnsi="宋体" w:eastAsia="宋体" w:cs="宋体"/>
                <w:bCs/>
                <w:color w:val="auto"/>
                <w:kern w:val="0"/>
                <w:sz w:val="24"/>
                <w:szCs w:val="24"/>
                <w:highlight w:val="none"/>
                <w:lang w:eastAsia="zh-CN"/>
              </w:rPr>
              <w:t>。</w:t>
            </w:r>
          </w:p>
          <w:p w14:paraId="42585EF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检验统计、分析</w:t>
            </w:r>
            <w:r>
              <w:rPr>
                <w:rFonts w:hint="eastAsia" w:ascii="宋体" w:hAnsi="宋体" w:eastAsia="宋体" w:cs="宋体"/>
                <w:bCs/>
                <w:color w:val="auto"/>
                <w:kern w:val="0"/>
                <w:sz w:val="24"/>
                <w:szCs w:val="24"/>
                <w:highlight w:val="none"/>
                <w:lang w:eastAsia="zh-CN"/>
              </w:rPr>
              <w:t>。</w:t>
            </w:r>
          </w:p>
        </w:tc>
      </w:tr>
      <w:tr w14:paraId="2FD7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Align w:val="center"/>
          </w:tcPr>
          <w:p w14:paraId="2ECAA215">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lang w:val="en-US" w:eastAsia="zh-CN"/>
              </w:rPr>
              <w:t>61．</w:t>
            </w:r>
            <w:r>
              <w:rPr>
                <w:rFonts w:hint="eastAsia" w:ascii="宋体" w:hAnsi="宋体" w:eastAsia="宋体" w:cs="宋体"/>
                <w:b/>
                <w:color w:val="auto"/>
                <w:sz w:val="24"/>
                <w:szCs w:val="24"/>
                <w:highlight w:val="none"/>
              </w:rPr>
              <w:t>大屏管理</w:t>
            </w:r>
          </w:p>
        </w:tc>
        <w:tc>
          <w:tcPr>
            <w:tcW w:w="1845" w:type="dxa"/>
            <w:vAlign w:val="center"/>
          </w:tcPr>
          <w:p w14:paraId="46517620">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大屏管理</w:t>
            </w:r>
          </w:p>
        </w:tc>
        <w:tc>
          <w:tcPr>
            <w:tcW w:w="6973" w:type="dxa"/>
            <w:vAlign w:val="center"/>
          </w:tcPr>
          <w:p w14:paraId="5965742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大屏可以显示紧急用血申请、已采集未送达标本、送检超时标本、血制品送出未确认、超时未输注完成的血液、超时血袋未回收、不良反应反馈等信息的实时监控及提醒</w:t>
            </w:r>
            <w:r>
              <w:rPr>
                <w:rFonts w:hint="eastAsia" w:ascii="宋体" w:hAnsi="宋体" w:eastAsia="宋体" w:cs="宋体"/>
                <w:bCs/>
                <w:color w:val="auto"/>
                <w:kern w:val="0"/>
                <w:sz w:val="24"/>
                <w:szCs w:val="24"/>
                <w:highlight w:val="none"/>
                <w:lang w:eastAsia="zh-CN"/>
              </w:rPr>
              <w:t>。</w:t>
            </w:r>
          </w:p>
          <w:p w14:paraId="7A318F4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大屏支持多种图形方式显示</w:t>
            </w:r>
            <w:r>
              <w:rPr>
                <w:rFonts w:hint="eastAsia" w:ascii="宋体" w:hAnsi="宋体" w:eastAsia="宋体" w:cs="宋体"/>
                <w:bCs/>
                <w:color w:val="auto"/>
                <w:kern w:val="0"/>
                <w:sz w:val="24"/>
                <w:szCs w:val="24"/>
                <w:highlight w:val="none"/>
                <w:lang w:eastAsia="zh-CN"/>
              </w:rPr>
              <w:t>。</w:t>
            </w:r>
          </w:p>
        </w:tc>
      </w:tr>
      <w:tr w14:paraId="35C31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atLeast"/>
          <w:jc w:val="center"/>
        </w:trPr>
        <w:tc>
          <w:tcPr>
            <w:tcW w:w="920" w:type="dxa"/>
            <w:vMerge w:val="restart"/>
            <w:vAlign w:val="center"/>
          </w:tcPr>
          <w:p w14:paraId="4EA2FD9F">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62．</w:t>
            </w:r>
            <w:r>
              <w:rPr>
                <w:rFonts w:hint="eastAsia" w:ascii="宋体" w:hAnsi="宋体" w:eastAsia="宋体" w:cs="宋体"/>
                <w:b/>
                <w:color w:val="auto"/>
                <w:sz w:val="24"/>
                <w:szCs w:val="24"/>
                <w:highlight w:val="none"/>
              </w:rPr>
              <w:t>临床用血评估统计、分析</w:t>
            </w:r>
          </w:p>
        </w:tc>
        <w:tc>
          <w:tcPr>
            <w:tcW w:w="1845" w:type="dxa"/>
            <w:vAlign w:val="center"/>
          </w:tcPr>
          <w:p w14:paraId="47FFA15D">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临床科室用血评估</w:t>
            </w:r>
          </w:p>
          <w:p w14:paraId="3AE80481">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p>
        </w:tc>
        <w:tc>
          <w:tcPr>
            <w:tcW w:w="6973" w:type="dxa"/>
            <w:vAlign w:val="top"/>
          </w:tcPr>
          <w:p w14:paraId="7EF2F77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输血量统计</w:t>
            </w:r>
            <w:r>
              <w:rPr>
                <w:rFonts w:hint="eastAsia" w:ascii="宋体" w:hAnsi="宋体" w:eastAsia="宋体" w:cs="宋体"/>
                <w:bCs/>
                <w:color w:val="auto"/>
                <w:kern w:val="0"/>
                <w:sz w:val="24"/>
                <w:szCs w:val="24"/>
                <w:highlight w:val="none"/>
                <w:lang w:eastAsia="zh-CN"/>
              </w:rPr>
              <w:t>。</w:t>
            </w:r>
          </w:p>
          <w:p w14:paraId="068E035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平均每次输血数量统计</w:t>
            </w:r>
            <w:r>
              <w:rPr>
                <w:rFonts w:hint="eastAsia" w:ascii="宋体" w:hAnsi="宋体" w:eastAsia="宋体" w:cs="宋体"/>
                <w:bCs/>
                <w:color w:val="auto"/>
                <w:kern w:val="0"/>
                <w:sz w:val="24"/>
                <w:szCs w:val="24"/>
                <w:highlight w:val="none"/>
                <w:lang w:eastAsia="zh-CN"/>
              </w:rPr>
              <w:t>。</w:t>
            </w:r>
          </w:p>
          <w:p w14:paraId="639ACE3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输血前检测比例统计</w:t>
            </w:r>
            <w:r>
              <w:rPr>
                <w:rFonts w:hint="eastAsia" w:ascii="宋体" w:hAnsi="宋体" w:eastAsia="宋体" w:cs="宋体"/>
                <w:bCs/>
                <w:color w:val="auto"/>
                <w:kern w:val="0"/>
                <w:sz w:val="24"/>
                <w:szCs w:val="24"/>
                <w:highlight w:val="none"/>
                <w:lang w:eastAsia="zh-CN"/>
              </w:rPr>
              <w:t>。</w:t>
            </w:r>
          </w:p>
          <w:p w14:paraId="0F79394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输血前检测指标平均值统计</w:t>
            </w:r>
            <w:r>
              <w:rPr>
                <w:rFonts w:hint="eastAsia" w:ascii="宋体" w:hAnsi="宋体" w:eastAsia="宋体" w:cs="宋体"/>
                <w:bCs/>
                <w:color w:val="auto"/>
                <w:kern w:val="0"/>
                <w:sz w:val="24"/>
                <w:szCs w:val="24"/>
                <w:highlight w:val="none"/>
                <w:lang w:eastAsia="zh-CN"/>
              </w:rPr>
              <w:t>。</w:t>
            </w:r>
          </w:p>
          <w:p w14:paraId="7B74A5C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不同检测结果用血比例统计</w:t>
            </w:r>
            <w:r>
              <w:rPr>
                <w:rFonts w:hint="eastAsia" w:ascii="宋体" w:hAnsi="宋体" w:eastAsia="宋体" w:cs="宋体"/>
                <w:bCs/>
                <w:color w:val="auto"/>
                <w:kern w:val="0"/>
                <w:sz w:val="24"/>
                <w:szCs w:val="24"/>
                <w:highlight w:val="none"/>
                <w:lang w:eastAsia="zh-CN"/>
              </w:rPr>
              <w:t>。</w:t>
            </w:r>
          </w:p>
          <w:p w14:paraId="4774F18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患者输血比例统计</w:t>
            </w:r>
            <w:r>
              <w:rPr>
                <w:rFonts w:hint="eastAsia" w:ascii="宋体" w:hAnsi="宋体" w:eastAsia="宋体" w:cs="宋体"/>
                <w:bCs/>
                <w:color w:val="auto"/>
                <w:kern w:val="0"/>
                <w:sz w:val="24"/>
                <w:szCs w:val="24"/>
                <w:highlight w:val="none"/>
                <w:lang w:eastAsia="zh-CN"/>
              </w:rPr>
              <w:t>。</w:t>
            </w:r>
          </w:p>
          <w:p w14:paraId="25A44B5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不同输血量患者比例统计</w:t>
            </w:r>
            <w:r>
              <w:rPr>
                <w:rFonts w:hint="eastAsia" w:ascii="宋体" w:hAnsi="宋体" w:eastAsia="宋体" w:cs="宋体"/>
                <w:bCs/>
                <w:color w:val="auto"/>
                <w:kern w:val="0"/>
                <w:sz w:val="24"/>
                <w:szCs w:val="24"/>
                <w:highlight w:val="none"/>
                <w:lang w:eastAsia="zh-CN"/>
              </w:rPr>
              <w:t>。</w:t>
            </w:r>
          </w:p>
          <w:p w14:paraId="6520092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不合理输血比例统计</w:t>
            </w:r>
            <w:r>
              <w:rPr>
                <w:rFonts w:hint="eastAsia" w:ascii="宋体" w:hAnsi="宋体" w:eastAsia="宋体" w:cs="宋体"/>
                <w:bCs/>
                <w:color w:val="auto"/>
                <w:kern w:val="0"/>
                <w:sz w:val="24"/>
                <w:szCs w:val="24"/>
                <w:highlight w:val="none"/>
                <w:lang w:eastAsia="zh-CN"/>
              </w:rPr>
              <w:t>。</w:t>
            </w:r>
          </w:p>
          <w:p w14:paraId="61194ED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手术台平均用血量统计</w:t>
            </w:r>
            <w:r>
              <w:rPr>
                <w:rFonts w:hint="eastAsia" w:ascii="宋体" w:hAnsi="宋体" w:eastAsia="宋体" w:cs="宋体"/>
                <w:bCs/>
                <w:color w:val="auto"/>
                <w:kern w:val="0"/>
                <w:sz w:val="24"/>
                <w:szCs w:val="24"/>
                <w:highlight w:val="none"/>
                <w:lang w:eastAsia="zh-CN"/>
              </w:rPr>
              <w:t>。</w:t>
            </w:r>
          </w:p>
          <w:p w14:paraId="5C52030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自体用血比例统计</w:t>
            </w:r>
            <w:r>
              <w:rPr>
                <w:rFonts w:hint="eastAsia" w:ascii="宋体" w:hAnsi="宋体" w:eastAsia="宋体" w:cs="宋体"/>
                <w:bCs/>
                <w:color w:val="auto"/>
                <w:kern w:val="0"/>
                <w:sz w:val="24"/>
                <w:szCs w:val="24"/>
                <w:highlight w:val="none"/>
                <w:lang w:eastAsia="zh-CN"/>
              </w:rPr>
              <w:t>。</w:t>
            </w:r>
          </w:p>
        </w:tc>
      </w:tr>
      <w:tr w14:paraId="339B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 w:type="dxa"/>
            <w:vMerge w:val="continue"/>
            <w:vAlign w:val="center"/>
          </w:tcPr>
          <w:p w14:paraId="37F99764">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color w:val="auto"/>
                <w:sz w:val="24"/>
                <w:szCs w:val="24"/>
                <w:highlight w:val="none"/>
              </w:rPr>
            </w:pPr>
          </w:p>
        </w:tc>
        <w:tc>
          <w:tcPr>
            <w:tcW w:w="1845" w:type="dxa"/>
            <w:vAlign w:val="center"/>
          </w:tcPr>
          <w:p w14:paraId="799C43F7">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临床医师用血评估</w:t>
            </w:r>
          </w:p>
          <w:p w14:paraId="27D117E9">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p>
        </w:tc>
        <w:tc>
          <w:tcPr>
            <w:tcW w:w="6973" w:type="dxa"/>
            <w:vAlign w:val="top"/>
          </w:tcPr>
          <w:p w14:paraId="0E339D35">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医师用血量统计</w:t>
            </w:r>
            <w:r>
              <w:rPr>
                <w:rFonts w:hint="eastAsia" w:ascii="宋体" w:hAnsi="宋体" w:eastAsia="宋体" w:cs="宋体"/>
                <w:bCs/>
                <w:color w:val="auto"/>
                <w:kern w:val="0"/>
                <w:sz w:val="24"/>
                <w:szCs w:val="24"/>
                <w:highlight w:val="none"/>
                <w:lang w:eastAsia="zh-CN"/>
              </w:rPr>
              <w:t>。</w:t>
            </w:r>
          </w:p>
          <w:p w14:paraId="31DF58A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平均每次输血数量统计</w:t>
            </w:r>
            <w:r>
              <w:rPr>
                <w:rFonts w:hint="eastAsia" w:ascii="宋体" w:hAnsi="宋体" w:eastAsia="宋体" w:cs="宋体"/>
                <w:bCs/>
                <w:color w:val="auto"/>
                <w:kern w:val="0"/>
                <w:sz w:val="24"/>
                <w:szCs w:val="24"/>
                <w:highlight w:val="none"/>
                <w:lang w:eastAsia="zh-CN"/>
              </w:rPr>
              <w:t>。</w:t>
            </w:r>
          </w:p>
          <w:p w14:paraId="4B909EE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输血前检测比例统计</w:t>
            </w:r>
            <w:r>
              <w:rPr>
                <w:rFonts w:hint="eastAsia" w:ascii="宋体" w:hAnsi="宋体" w:eastAsia="宋体" w:cs="宋体"/>
                <w:bCs/>
                <w:color w:val="auto"/>
                <w:kern w:val="0"/>
                <w:sz w:val="24"/>
                <w:szCs w:val="24"/>
                <w:highlight w:val="none"/>
                <w:lang w:eastAsia="zh-CN"/>
              </w:rPr>
              <w:t>。</w:t>
            </w:r>
          </w:p>
          <w:p w14:paraId="39F37E9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输血前检测指标平均值统计</w:t>
            </w:r>
            <w:r>
              <w:rPr>
                <w:rFonts w:hint="eastAsia" w:ascii="宋体" w:hAnsi="宋体" w:eastAsia="宋体" w:cs="宋体"/>
                <w:bCs/>
                <w:color w:val="auto"/>
                <w:kern w:val="0"/>
                <w:sz w:val="24"/>
                <w:szCs w:val="24"/>
                <w:highlight w:val="none"/>
                <w:lang w:eastAsia="zh-CN"/>
              </w:rPr>
              <w:t>。</w:t>
            </w:r>
          </w:p>
          <w:p w14:paraId="0D9E66B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不同检测结果用血比例统计</w:t>
            </w:r>
            <w:r>
              <w:rPr>
                <w:rFonts w:hint="eastAsia" w:ascii="宋体" w:hAnsi="宋体" w:eastAsia="宋体" w:cs="宋体"/>
                <w:bCs/>
                <w:color w:val="auto"/>
                <w:kern w:val="0"/>
                <w:sz w:val="24"/>
                <w:szCs w:val="24"/>
                <w:highlight w:val="none"/>
                <w:lang w:eastAsia="zh-CN"/>
              </w:rPr>
              <w:t>。</w:t>
            </w:r>
          </w:p>
          <w:p w14:paraId="70C9954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不同输血量患者比例统计</w:t>
            </w:r>
            <w:r>
              <w:rPr>
                <w:rFonts w:hint="eastAsia" w:ascii="宋体" w:hAnsi="宋体" w:eastAsia="宋体" w:cs="宋体"/>
                <w:bCs/>
                <w:color w:val="auto"/>
                <w:kern w:val="0"/>
                <w:sz w:val="24"/>
                <w:szCs w:val="24"/>
                <w:highlight w:val="none"/>
                <w:lang w:eastAsia="zh-CN"/>
              </w:rPr>
              <w:t>。</w:t>
            </w:r>
          </w:p>
          <w:p w14:paraId="629C184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不合理输血比例统计</w:t>
            </w:r>
            <w:r>
              <w:rPr>
                <w:rFonts w:hint="eastAsia" w:ascii="宋体" w:hAnsi="宋体" w:eastAsia="宋体" w:cs="宋体"/>
                <w:bCs/>
                <w:color w:val="auto"/>
                <w:kern w:val="0"/>
                <w:sz w:val="24"/>
                <w:szCs w:val="24"/>
                <w:highlight w:val="none"/>
                <w:lang w:eastAsia="zh-CN"/>
              </w:rPr>
              <w:t>。</w:t>
            </w:r>
          </w:p>
          <w:p w14:paraId="7E7A361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患者平均用血量统计</w:t>
            </w:r>
            <w:r>
              <w:rPr>
                <w:rFonts w:hint="eastAsia" w:ascii="宋体" w:hAnsi="宋体" w:eastAsia="宋体" w:cs="宋体"/>
                <w:bCs/>
                <w:color w:val="auto"/>
                <w:kern w:val="0"/>
                <w:sz w:val="24"/>
                <w:szCs w:val="24"/>
                <w:highlight w:val="none"/>
                <w:lang w:eastAsia="zh-CN"/>
              </w:rPr>
              <w:t>。</w:t>
            </w:r>
          </w:p>
        </w:tc>
      </w:tr>
      <w:tr w14:paraId="30812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0" w:type="dxa"/>
            <w:vMerge w:val="continue"/>
            <w:vAlign w:val="center"/>
          </w:tcPr>
          <w:p w14:paraId="0624F0B9">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color w:val="auto"/>
                <w:sz w:val="24"/>
                <w:szCs w:val="24"/>
                <w:highlight w:val="none"/>
              </w:rPr>
            </w:pPr>
          </w:p>
        </w:tc>
        <w:tc>
          <w:tcPr>
            <w:tcW w:w="1845" w:type="dxa"/>
            <w:vAlign w:val="center"/>
          </w:tcPr>
          <w:p w14:paraId="34BA000D">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医院用血评估</w:t>
            </w:r>
          </w:p>
          <w:p w14:paraId="68AE56D8">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p>
        </w:tc>
        <w:tc>
          <w:tcPr>
            <w:tcW w:w="6973" w:type="dxa"/>
            <w:vAlign w:val="top"/>
          </w:tcPr>
          <w:p w14:paraId="4C9AFC3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医院住院人均用血量</w:t>
            </w:r>
            <w:r>
              <w:rPr>
                <w:rFonts w:hint="eastAsia" w:ascii="宋体" w:hAnsi="宋体" w:eastAsia="宋体" w:cs="宋体"/>
                <w:bCs/>
                <w:color w:val="auto"/>
                <w:kern w:val="0"/>
                <w:sz w:val="24"/>
                <w:szCs w:val="24"/>
                <w:highlight w:val="none"/>
                <w:lang w:eastAsia="zh-CN"/>
              </w:rPr>
              <w:t>。</w:t>
            </w:r>
          </w:p>
          <w:p w14:paraId="101A175A">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医院输血量患者比例</w:t>
            </w:r>
            <w:r>
              <w:rPr>
                <w:rFonts w:hint="eastAsia" w:ascii="宋体" w:hAnsi="宋体" w:eastAsia="宋体" w:cs="宋体"/>
                <w:bCs/>
                <w:color w:val="auto"/>
                <w:kern w:val="0"/>
                <w:sz w:val="24"/>
                <w:szCs w:val="24"/>
                <w:highlight w:val="none"/>
                <w:lang w:eastAsia="zh-CN"/>
              </w:rPr>
              <w:t>。</w:t>
            </w:r>
          </w:p>
          <w:p w14:paraId="399BDD0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医院输血患者人均用血量</w:t>
            </w:r>
            <w:r>
              <w:rPr>
                <w:rFonts w:hint="eastAsia" w:ascii="宋体" w:hAnsi="宋体" w:eastAsia="宋体" w:cs="宋体"/>
                <w:bCs/>
                <w:color w:val="auto"/>
                <w:kern w:val="0"/>
                <w:sz w:val="24"/>
                <w:szCs w:val="24"/>
                <w:highlight w:val="none"/>
                <w:lang w:eastAsia="zh-CN"/>
              </w:rPr>
              <w:t>。</w:t>
            </w:r>
          </w:p>
          <w:p w14:paraId="09FA29E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医院手术台均用血量</w:t>
            </w:r>
            <w:r>
              <w:rPr>
                <w:rFonts w:hint="eastAsia" w:ascii="宋体" w:hAnsi="宋体" w:eastAsia="宋体" w:cs="宋体"/>
                <w:bCs/>
                <w:color w:val="auto"/>
                <w:kern w:val="0"/>
                <w:sz w:val="24"/>
                <w:szCs w:val="24"/>
                <w:highlight w:val="none"/>
                <w:lang w:eastAsia="zh-CN"/>
              </w:rPr>
              <w:t>。</w:t>
            </w:r>
          </w:p>
        </w:tc>
      </w:tr>
      <w:tr w14:paraId="212B8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20" w:type="dxa"/>
            <w:vMerge w:val="continue"/>
            <w:vAlign w:val="center"/>
          </w:tcPr>
          <w:p w14:paraId="37852532">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color w:val="auto"/>
                <w:sz w:val="24"/>
                <w:szCs w:val="24"/>
                <w:highlight w:val="none"/>
              </w:rPr>
            </w:pPr>
          </w:p>
        </w:tc>
        <w:tc>
          <w:tcPr>
            <w:tcW w:w="1845" w:type="dxa"/>
            <w:vAlign w:val="center"/>
          </w:tcPr>
          <w:p w14:paraId="761DBDC9">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临床用血质量控制指标</w:t>
            </w:r>
          </w:p>
        </w:tc>
        <w:tc>
          <w:tcPr>
            <w:tcW w:w="6973" w:type="dxa"/>
            <w:vAlign w:val="top"/>
          </w:tcPr>
          <w:p w14:paraId="41146248">
            <w:pPr>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sz w:val="24"/>
                <w:szCs w:val="24"/>
                <w:highlight w:val="none"/>
              </w:rPr>
              <w:t>临床用血质量控制指标《临床用血质量控制指标(2019版)一键统计</w:t>
            </w:r>
            <w:r>
              <w:rPr>
                <w:rFonts w:hint="eastAsia" w:ascii="宋体" w:hAnsi="宋体" w:eastAsia="宋体" w:cs="宋体"/>
                <w:color w:val="auto"/>
                <w:sz w:val="24"/>
                <w:szCs w:val="24"/>
                <w:highlight w:val="none"/>
                <w:lang w:eastAsia="zh-CN"/>
              </w:rPr>
              <w:t>。</w:t>
            </w:r>
          </w:p>
        </w:tc>
      </w:tr>
      <w:tr w14:paraId="16507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7" w:hRule="atLeast"/>
          <w:jc w:val="center"/>
        </w:trPr>
        <w:tc>
          <w:tcPr>
            <w:tcW w:w="920" w:type="dxa"/>
            <w:vAlign w:val="center"/>
          </w:tcPr>
          <w:p w14:paraId="12E34CF9">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63．</w:t>
            </w:r>
            <w:r>
              <w:rPr>
                <w:rFonts w:hint="eastAsia" w:ascii="宋体" w:hAnsi="宋体" w:eastAsia="宋体" w:cs="宋体"/>
                <w:b/>
                <w:bCs/>
                <w:color w:val="auto"/>
                <w:sz w:val="24"/>
                <w:szCs w:val="24"/>
                <w:highlight w:val="none"/>
              </w:rPr>
              <w:t>血库统计</w:t>
            </w:r>
          </w:p>
        </w:tc>
        <w:tc>
          <w:tcPr>
            <w:tcW w:w="1845" w:type="dxa"/>
            <w:vAlign w:val="center"/>
          </w:tcPr>
          <w:p w14:paraId="4E77B2EB">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血库统计</w:t>
            </w:r>
          </w:p>
        </w:tc>
        <w:tc>
          <w:tcPr>
            <w:tcW w:w="6973" w:type="dxa"/>
            <w:vAlign w:val="top"/>
          </w:tcPr>
          <w:p w14:paraId="5A569E2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血液库存统计</w:t>
            </w:r>
            <w:r>
              <w:rPr>
                <w:rFonts w:hint="eastAsia" w:ascii="宋体" w:hAnsi="宋体" w:eastAsia="宋体" w:cs="宋体"/>
                <w:bCs/>
                <w:color w:val="auto"/>
                <w:kern w:val="0"/>
                <w:sz w:val="24"/>
                <w:szCs w:val="24"/>
                <w:highlight w:val="none"/>
                <w:lang w:eastAsia="zh-CN"/>
              </w:rPr>
              <w:t>。</w:t>
            </w:r>
          </w:p>
          <w:p w14:paraId="02F69770">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血液综合统计</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7CD361C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期间出入库统计</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224253D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4"/>
                <w:szCs w:val="24"/>
                <w:highlight w:val="none"/>
              </w:rPr>
              <w:t>血液回收处置查询</w:t>
            </w:r>
            <w:r>
              <w:rPr>
                <w:rFonts w:hint="eastAsia" w:ascii="宋体" w:hAnsi="宋体" w:eastAsia="宋体" w:cs="宋体"/>
                <w:bCs/>
                <w:color w:val="auto"/>
                <w:kern w:val="0"/>
                <w:sz w:val="24"/>
                <w:szCs w:val="24"/>
                <w:highlight w:val="none"/>
                <w:lang w:eastAsia="zh-CN"/>
              </w:rPr>
              <w:t>。</w:t>
            </w:r>
          </w:p>
          <w:p w14:paraId="51F8ADF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血制品回收统计</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3A48367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费用查询统计</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4D51DA4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患者血型分布</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624994FB">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在途血液监控</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4E4FB7C9">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临床用血计划</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7EEF302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用血TAT统计</w:t>
            </w:r>
            <w:r>
              <w:rPr>
                <w:rFonts w:hint="eastAsia" w:ascii="宋体" w:hAnsi="宋体" w:eastAsia="宋体" w:cs="宋体"/>
                <w:bCs/>
                <w:color w:val="auto"/>
                <w:kern w:val="0"/>
                <w:sz w:val="24"/>
                <w:szCs w:val="24"/>
                <w:highlight w:val="none"/>
                <w:lang w:eastAsia="zh-CN"/>
              </w:rPr>
              <w:t>。</w:t>
            </w:r>
          </w:p>
          <w:p w14:paraId="474F154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临床用血申请趋势</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3F281342">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输血科收费趋势</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168636DC">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科室专业类别用血量排名</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1B38628F">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血制品成分用血量分布</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ab/>
            </w:r>
          </w:p>
          <w:p w14:paraId="38D3672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临床科室申请发血分布条状图</w:t>
            </w:r>
            <w:r>
              <w:rPr>
                <w:rFonts w:hint="eastAsia" w:ascii="宋体" w:hAnsi="宋体" w:eastAsia="宋体" w:cs="宋体"/>
                <w:bCs/>
                <w:color w:val="auto"/>
                <w:kern w:val="0"/>
                <w:sz w:val="24"/>
                <w:szCs w:val="24"/>
                <w:highlight w:val="none"/>
                <w:lang w:eastAsia="zh-CN"/>
              </w:rPr>
              <w:t>。</w:t>
            </w:r>
          </w:p>
          <w:p w14:paraId="0D0A2FA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库存血液血型分布</w:t>
            </w:r>
            <w:r>
              <w:rPr>
                <w:rFonts w:hint="eastAsia" w:ascii="宋体" w:hAnsi="宋体" w:eastAsia="宋体" w:cs="宋体"/>
                <w:bCs/>
                <w:color w:val="auto"/>
                <w:kern w:val="0"/>
                <w:sz w:val="24"/>
                <w:szCs w:val="24"/>
                <w:highlight w:val="none"/>
                <w:lang w:eastAsia="zh-CN"/>
              </w:rPr>
              <w:t>。</w:t>
            </w:r>
          </w:p>
        </w:tc>
      </w:tr>
      <w:tr w14:paraId="7AEF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9" w:hRule="atLeast"/>
          <w:jc w:val="center"/>
        </w:trPr>
        <w:tc>
          <w:tcPr>
            <w:tcW w:w="920" w:type="dxa"/>
            <w:tcBorders>
              <w:bottom w:val="single" w:color="auto" w:sz="4" w:space="0"/>
            </w:tcBorders>
            <w:vAlign w:val="center"/>
          </w:tcPr>
          <w:p w14:paraId="5EC9CCE2">
            <w:pPr>
              <w:keepNext w:val="0"/>
              <w:keepLines w:val="0"/>
              <w:pageBreakBefore w:val="0"/>
              <w:kinsoku/>
              <w:wordWrap/>
              <w:overflowPunct/>
              <w:topLinePunct w:val="0"/>
              <w:autoSpaceDE/>
              <w:autoSpaceDN/>
              <w:bidi w:val="0"/>
              <w:snapToGrid/>
              <w:spacing w:beforeAutospacing="0" w:afterAutospacing="0" w:line="300" w:lineRule="auto"/>
              <w:ind w:left="0" w:leftChars="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64．</w:t>
            </w:r>
            <w:r>
              <w:rPr>
                <w:rFonts w:hint="eastAsia" w:ascii="宋体" w:hAnsi="宋体" w:eastAsia="宋体" w:cs="宋体"/>
                <w:b/>
                <w:bCs/>
                <w:color w:val="auto"/>
                <w:sz w:val="24"/>
                <w:szCs w:val="24"/>
                <w:highlight w:val="none"/>
              </w:rPr>
              <w:t>患者自身血用血管理</w:t>
            </w:r>
          </w:p>
        </w:tc>
        <w:tc>
          <w:tcPr>
            <w:tcW w:w="1845" w:type="dxa"/>
            <w:tcBorders>
              <w:bottom w:val="single" w:color="auto" w:sz="4" w:space="0"/>
            </w:tcBorders>
            <w:vAlign w:val="center"/>
          </w:tcPr>
          <w:p w14:paraId="191BE144">
            <w:pPr>
              <w:keepNext w:val="0"/>
              <w:keepLines w:val="0"/>
              <w:pageBreakBefore w:val="0"/>
              <w:kinsoku/>
              <w:wordWrap/>
              <w:overflowPunct/>
              <w:topLinePunct w:val="0"/>
              <w:autoSpaceDE/>
              <w:autoSpaceDN/>
              <w:bidi w:val="0"/>
              <w:snapToGrid/>
              <w:spacing w:beforeAutospacing="0" w:afterAutospacing="0" w:line="300" w:lineRule="auto"/>
              <w:ind w:left="0" w:lef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患者自身血用血管理</w:t>
            </w:r>
          </w:p>
        </w:tc>
        <w:tc>
          <w:tcPr>
            <w:tcW w:w="6973" w:type="dxa"/>
            <w:tcBorders>
              <w:bottom w:val="single" w:color="auto" w:sz="4" w:space="0"/>
            </w:tcBorders>
            <w:vAlign w:val="top"/>
          </w:tcPr>
          <w:p w14:paraId="1BC6ADCA">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自体血全流程管理</w:t>
            </w:r>
            <w:r>
              <w:rPr>
                <w:rFonts w:hint="eastAsia" w:ascii="宋体" w:hAnsi="宋体" w:eastAsia="宋体" w:cs="宋体"/>
                <w:bCs/>
                <w:color w:val="auto"/>
                <w:kern w:val="0"/>
                <w:sz w:val="24"/>
                <w:szCs w:val="24"/>
                <w:highlight w:val="none"/>
                <w:lang w:eastAsia="zh-CN"/>
              </w:rPr>
              <w:t>。</w:t>
            </w:r>
          </w:p>
          <w:p w14:paraId="05FCA1A6">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自体血相关全流程管理，自体血标签打印、采集、入库，并与临床用血流程有效关联</w:t>
            </w:r>
            <w:r>
              <w:rPr>
                <w:rFonts w:hint="eastAsia" w:ascii="宋体" w:hAnsi="宋体" w:eastAsia="宋体" w:cs="宋体"/>
                <w:bCs/>
                <w:color w:val="auto"/>
                <w:kern w:val="0"/>
                <w:sz w:val="24"/>
                <w:szCs w:val="24"/>
                <w:highlight w:val="none"/>
                <w:lang w:eastAsia="zh-CN"/>
              </w:rPr>
              <w:t>。</w:t>
            </w:r>
          </w:p>
          <w:p w14:paraId="197D98E0">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非手术室临床医生自体血独立知情同意书模板、输血申请界面、输血申请单模板</w:t>
            </w:r>
            <w:r>
              <w:rPr>
                <w:rFonts w:hint="eastAsia" w:ascii="宋体" w:hAnsi="宋体" w:eastAsia="宋体" w:cs="宋体"/>
                <w:bCs/>
                <w:color w:val="auto"/>
                <w:kern w:val="0"/>
                <w:sz w:val="24"/>
                <w:szCs w:val="24"/>
                <w:highlight w:val="none"/>
                <w:lang w:eastAsia="zh-CN"/>
              </w:rPr>
              <w:t>。</w:t>
            </w:r>
          </w:p>
          <w:p w14:paraId="072F73FE">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自体血标签打印、采集、入库、出库</w:t>
            </w:r>
            <w:r>
              <w:rPr>
                <w:rFonts w:hint="eastAsia" w:ascii="宋体" w:hAnsi="宋体" w:eastAsia="宋体" w:cs="宋体"/>
                <w:bCs/>
                <w:color w:val="auto"/>
                <w:kern w:val="0"/>
                <w:sz w:val="24"/>
                <w:szCs w:val="24"/>
                <w:highlight w:val="none"/>
                <w:lang w:eastAsia="zh-CN"/>
              </w:rPr>
              <w:t>。</w:t>
            </w:r>
          </w:p>
          <w:p w14:paraId="26768580">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手术室自体血管理和登记</w:t>
            </w:r>
            <w:r>
              <w:rPr>
                <w:rFonts w:hint="eastAsia" w:ascii="宋体" w:hAnsi="宋体" w:eastAsia="宋体" w:cs="宋体"/>
                <w:bCs/>
                <w:color w:val="auto"/>
                <w:kern w:val="0"/>
                <w:sz w:val="24"/>
                <w:szCs w:val="24"/>
                <w:highlight w:val="none"/>
                <w:lang w:eastAsia="zh-CN"/>
              </w:rPr>
              <w:t>。</w:t>
            </w:r>
          </w:p>
          <w:p w14:paraId="57A2ACA3">
            <w:pPr>
              <w:widowControl/>
              <w:spacing w:line="300" w:lineRule="auto"/>
              <w:ind w:firstLine="480" w:firstLineChars="200"/>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支持在一个用血周期内，多次多袋采血管理</w:t>
            </w:r>
            <w:r>
              <w:rPr>
                <w:rFonts w:hint="eastAsia" w:ascii="宋体" w:hAnsi="宋体" w:eastAsia="宋体" w:cs="宋体"/>
                <w:bCs/>
                <w:color w:val="auto"/>
                <w:kern w:val="0"/>
                <w:sz w:val="24"/>
                <w:szCs w:val="24"/>
                <w:highlight w:val="none"/>
                <w:lang w:eastAsia="zh-CN"/>
              </w:rPr>
              <w:t>。</w:t>
            </w:r>
          </w:p>
          <w:p w14:paraId="662646B7">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报表统计功能</w:t>
            </w:r>
            <w:r>
              <w:rPr>
                <w:rFonts w:hint="eastAsia" w:ascii="宋体" w:hAnsi="宋体" w:eastAsia="宋体" w:cs="宋体"/>
                <w:bCs/>
                <w:color w:val="auto"/>
                <w:kern w:val="0"/>
                <w:sz w:val="24"/>
                <w:szCs w:val="24"/>
                <w:highlight w:val="none"/>
                <w:lang w:eastAsia="zh-CN"/>
              </w:rPr>
              <w:t>。</w:t>
            </w:r>
          </w:p>
        </w:tc>
      </w:tr>
      <w:tr w14:paraId="502E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9738" w:type="dxa"/>
            <w:gridSpan w:val="3"/>
            <w:tcBorders>
              <w:top w:val="single" w:color="auto" w:sz="4" w:space="0"/>
              <w:left w:val="nil"/>
              <w:bottom w:val="nil"/>
              <w:right w:val="nil"/>
            </w:tcBorders>
            <w:vAlign w:val="center"/>
          </w:tcPr>
          <w:p w14:paraId="5EECF38B">
            <w:pPr>
              <w:keepNext w:val="0"/>
              <w:keepLines w:val="0"/>
              <w:pageBreakBefore w:val="0"/>
              <w:kinsoku/>
              <w:wordWrap/>
              <w:overflowPunct/>
              <w:topLinePunct w:val="0"/>
              <w:autoSpaceDE/>
              <w:autoSpaceDN/>
              <w:bidi w:val="0"/>
              <w:snapToGrid/>
              <w:spacing w:beforeAutospacing="0" w:afterAutospacing="0" w:line="300" w:lineRule="auto"/>
              <w:jc w:val="both"/>
              <w:textAlignment w:val="auto"/>
              <w:rPr>
                <w:rFonts w:hint="eastAsia" w:ascii="宋体" w:hAnsi="宋体" w:eastAsia="宋体" w:cs="宋体"/>
                <w:b/>
                <w:bCs/>
                <w:color w:val="auto"/>
                <w:sz w:val="24"/>
                <w:szCs w:val="24"/>
                <w:highlight w:val="none"/>
                <w:lang w:val="en-US" w:eastAsia="zh-CN"/>
              </w:rPr>
            </w:pPr>
          </w:p>
          <w:tbl>
            <w:tblPr>
              <w:tblStyle w:val="20"/>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063"/>
              <w:gridCol w:w="6629"/>
            </w:tblGrid>
            <w:tr w14:paraId="3206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9417" w:type="dxa"/>
                  <w:gridSpan w:val="3"/>
                  <w:tcBorders>
                    <w:top w:val="single" w:color="auto" w:sz="4" w:space="0"/>
                  </w:tcBorders>
                  <w:vAlign w:val="center"/>
                </w:tcPr>
                <w:p w14:paraId="67FC5C87">
                  <w:pPr>
                    <w:keepNext w:val="0"/>
                    <w:keepLines w:val="0"/>
                    <w:pageBreakBefore w:val="0"/>
                    <w:kinsoku/>
                    <w:wordWrap/>
                    <w:overflowPunct/>
                    <w:topLinePunct w:val="0"/>
                    <w:autoSpaceDE/>
                    <w:autoSpaceDN/>
                    <w:bidi w:val="0"/>
                    <w:snapToGrid/>
                    <w:spacing w:beforeAutospacing="0" w:afterAutospacing="0" w:line="300" w:lineRule="auto"/>
                    <w:ind w:left="0" w:leftChars="0" w:firstLine="482" w:firstLineChars="200"/>
                    <w:jc w:val="center"/>
                    <w:textAlignment w:val="auto"/>
                    <w:rPr>
                      <w:rFonts w:hint="default" w:ascii="宋体" w:hAnsi="宋体" w:eastAsia="宋体" w:cs="宋体"/>
                      <w:bCs/>
                      <w:color w:val="auto"/>
                      <w:kern w:val="0"/>
                      <w:sz w:val="24"/>
                      <w:szCs w:val="24"/>
                      <w:highlight w:val="none"/>
                      <w:lang w:val="en-US"/>
                    </w:rPr>
                  </w:pPr>
                  <w:r>
                    <w:rPr>
                      <w:rFonts w:hint="eastAsia" w:ascii="宋体" w:hAnsi="宋体" w:eastAsia="宋体" w:cs="宋体"/>
                      <w:b/>
                      <w:bCs/>
                      <w:color w:val="auto"/>
                      <w:sz w:val="24"/>
                      <w:szCs w:val="24"/>
                      <w:highlight w:val="none"/>
                      <w:lang w:val="en-US" w:eastAsia="zh-CN"/>
                    </w:rPr>
                    <w:t>样本分拣机技术参数</w:t>
                  </w:r>
                </w:p>
              </w:tc>
            </w:tr>
            <w:tr w14:paraId="5865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5" w:type="dxa"/>
                  <w:vMerge w:val="restart"/>
                  <w:shd w:val="clear" w:color="auto" w:fill="auto"/>
                  <w:vAlign w:val="center"/>
                </w:tcPr>
                <w:p w14:paraId="55E9A9B1">
                  <w:pPr>
                    <w:keepNext w:val="0"/>
                    <w:keepLines w:val="0"/>
                    <w:pageBreakBefore w:val="0"/>
                    <w:kinsoku/>
                    <w:wordWrap/>
                    <w:overflowPunct/>
                    <w:topLinePunct w:val="0"/>
                    <w:autoSpaceDE/>
                    <w:autoSpaceDN/>
                    <w:bidi w:val="0"/>
                    <w:snapToGrid/>
                    <w:spacing w:beforeAutospacing="0" w:afterAutospacing="0" w:line="300" w:lineRule="auto"/>
                    <w:jc w:val="both"/>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序号</w:t>
                  </w:r>
                </w:p>
              </w:tc>
              <w:tc>
                <w:tcPr>
                  <w:tcW w:w="2063" w:type="dxa"/>
                  <w:vMerge w:val="restart"/>
                  <w:shd w:val="clear" w:color="auto" w:fill="auto"/>
                  <w:vAlign w:val="center"/>
                </w:tcPr>
                <w:p w14:paraId="0154F5FA">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技术参数</w:t>
                  </w:r>
                </w:p>
              </w:tc>
              <w:tc>
                <w:tcPr>
                  <w:tcW w:w="6629" w:type="dxa"/>
                  <w:vMerge w:val="restart"/>
                  <w:shd w:val="clear" w:color="auto" w:fill="auto"/>
                  <w:vAlign w:val="center"/>
                </w:tcPr>
                <w:p w14:paraId="3731C950">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指标和性能</w:t>
                  </w:r>
                </w:p>
              </w:tc>
            </w:tr>
            <w:tr w14:paraId="2B01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5" w:type="dxa"/>
                  <w:vMerge w:val="continue"/>
                  <w:vAlign w:val="center"/>
                </w:tcPr>
                <w:p w14:paraId="226ED58B">
                  <w:pPr>
                    <w:keepNext w:val="0"/>
                    <w:keepLines w:val="0"/>
                    <w:pageBreakBefore w:val="0"/>
                    <w:kinsoku/>
                    <w:wordWrap/>
                    <w:overflowPunct/>
                    <w:topLinePunct w:val="0"/>
                    <w:autoSpaceDE/>
                    <w:autoSpaceDN/>
                    <w:bidi w:val="0"/>
                    <w:snapToGrid/>
                    <w:spacing w:beforeAutospacing="0" w:afterAutospacing="0" w:line="300" w:lineRule="auto"/>
                    <w:ind w:left="0" w:leftChars="0" w:firstLine="482" w:firstLineChars="200"/>
                    <w:jc w:val="center"/>
                    <w:textAlignment w:val="auto"/>
                    <w:rPr>
                      <w:rFonts w:hint="eastAsia" w:ascii="宋体" w:hAnsi="宋体" w:eastAsia="宋体" w:cs="宋体"/>
                      <w:b/>
                      <w:bCs/>
                      <w:color w:val="auto"/>
                      <w:sz w:val="24"/>
                      <w:szCs w:val="24"/>
                      <w:highlight w:val="none"/>
                      <w:lang w:val="en-US" w:eastAsia="zh-CN"/>
                    </w:rPr>
                  </w:pPr>
                </w:p>
              </w:tc>
              <w:tc>
                <w:tcPr>
                  <w:tcW w:w="2063" w:type="dxa"/>
                  <w:vMerge w:val="continue"/>
                  <w:vAlign w:val="center"/>
                </w:tcPr>
                <w:p w14:paraId="78E10E51">
                  <w:pPr>
                    <w:keepNext w:val="0"/>
                    <w:keepLines w:val="0"/>
                    <w:pageBreakBefore w:val="0"/>
                    <w:kinsoku/>
                    <w:wordWrap/>
                    <w:overflowPunct/>
                    <w:topLinePunct w:val="0"/>
                    <w:autoSpaceDE/>
                    <w:autoSpaceDN/>
                    <w:bidi w:val="0"/>
                    <w:snapToGrid/>
                    <w:spacing w:beforeAutospacing="0" w:afterAutospacing="0" w:line="300" w:lineRule="auto"/>
                    <w:ind w:left="0" w:leftChars="0" w:firstLine="482" w:firstLineChars="200"/>
                    <w:jc w:val="center"/>
                    <w:textAlignment w:val="auto"/>
                    <w:rPr>
                      <w:rFonts w:hint="eastAsia" w:ascii="宋体" w:hAnsi="宋体" w:eastAsia="宋体" w:cs="宋体"/>
                      <w:b/>
                      <w:bCs/>
                      <w:color w:val="auto"/>
                      <w:sz w:val="24"/>
                      <w:szCs w:val="24"/>
                      <w:highlight w:val="none"/>
                      <w:lang w:val="en-US" w:eastAsia="zh-CN"/>
                    </w:rPr>
                  </w:pPr>
                </w:p>
              </w:tc>
              <w:tc>
                <w:tcPr>
                  <w:tcW w:w="6629" w:type="dxa"/>
                  <w:vMerge w:val="continue"/>
                  <w:vAlign w:val="center"/>
                </w:tcPr>
                <w:p w14:paraId="065A6E54">
                  <w:pPr>
                    <w:keepNext w:val="0"/>
                    <w:keepLines w:val="0"/>
                    <w:pageBreakBefore w:val="0"/>
                    <w:kinsoku/>
                    <w:wordWrap/>
                    <w:overflowPunct/>
                    <w:topLinePunct w:val="0"/>
                    <w:autoSpaceDE/>
                    <w:autoSpaceDN/>
                    <w:bidi w:val="0"/>
                    <w:snapToGrid/>
                    <w:spacing w:beforeAutospacing="0" w:afterAutospacing="0" w:line="300" w:lineRule="auto"/>
                    <w:ind w:left="0" w:leftChars="0" w:firstLine="482" w:firstLineChars="200"/>
                    <w:jc w:val="center"/>
                    <w:textAlignment w:val="auto"/>
                    <w:rPr>
                      <w:rFonts w:hint="eastAsia" w:ascii="宋体" w:hAnsi="宋体" w:eastAsia="宋体" w:cs="宋体"/>
                      <w:b/>
                      <w:bCs/>
                      <w:color w:val="auto"/>
                      <w:sz w:val="24"/>
                      <w:szCs w:val="24"/>
                      <w:highlight w:val="none"/>
                      <w:lang w:val="en-US" w:eastAsia="zh-CN"/>
                    </w:rPr>
                  </w:pPr>
                </w:p>
              </w:tc>
            </w:tr>
            <w:tr w14:paraId="7D30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725" w:type="dxa"/>
                  <w:vAlign w:val="center"/>
                </w:tcPr>
                <w:p w14:paraId="3B7BB790">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2063" w:type="dxa"/>
                  <w:vAlign w:val="center"/>
                </w:tcPr>
                <w:p w14:paraId="1E5DB73A">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eastAsia="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系统组成</w:t>
                  </w:r>
                </w:p>
              </w:tc>
              <w:tc>
                <w:tcPr>
                  <w:tcW w:w="6629" w:type="dxa"/>
                  <w:vAlign w:val="center"/>
                </w:tcPr>
                <w:p w14:paraId="3F5FFA6A">
                  <w:pPr>
                    <w:keepNext w:val="0"/>
                    <w:keepLines w:val="0"/>
                    <w:pageBreakBefore w:val="0"/>
                    <w:kinsoku/>
                    <w:wordWrap/>
                    <w:overflowPunct/>
                    <w:topLinePunct w:val="0"/>
                    <w:autoSpaceDE/>
                    <w:autoSpaceDN/>
                    <w:bidi w:val="0"/>
                    <w:snapToGrid/>
                    <w:spacing w:beforeAutospacing="0" w:afterAutospacing="0" w:line="300" w:lineRule="auto"/>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能完成标本分拣核收工作的功能应用，包含信息接口模块、数据处理智能分拣核收管理模块、仪器管理模块、条码异常标本管理模块、标本遗失预警模块等功能</w:t>
                  </w:r>
                </w:p>
              </w:tc>
            </w:tr>
            <w:tr w14:paraId="4E38A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25" w:type="dxa"/>
                  <w:vAlign w:val="center"/>
                </w:tcPr>
                <w:p w14:paraId="7A89BC60">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2063" w:type="dxa"/>
                  <w:vAlign w:val="center"/>
                </w:tcPr>
                <w:p w14:paraId="2193C52C">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样品试管分拣形式</w:t>
                  </w:r>
                </w:p>
              </w:tc>
              <w:tc>
                <w:tcPr>
                  <w:tcW w:w="6629" w:type="dxa"/>
                  <w:vAlign w:val="center"/>
                </w:tcPr>
                <w:p w14:paraId="41881DBE">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根据试管条形码对应的标本类型进行试管分拣；无法读取条形码、或信息系统异常反馈的试管收集至废管收集盒</w:t>
                  </w:r>
                </w:p>
              </w:tc>
            </w:tr>
            <w:tr w14:paraId="2D79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725" w:type="dxa"/>
                  <w:vAlign w:val="center"/>
                </w:tcPr>
                <w:p w14:paraId="1CB4808E">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2063" w:type="dxa"/>
                  <w:vAlign w:val="center"/>
                </w:tcPr>
                <w:p w14:paraId="37459BF9">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标本输入区进样方式：试管装载仓轨道输出</w:t>
                  </w:r>
                </w:p>
              </w:tc>
              <w:tc>
                <w:tcPr>
                  <w:tcW w:w="6629" w:type="dxa"/>
                  <w:vAlign w:val="center"/>
                </w:tcPr>
                <w:p w14:paraId="357F3E61">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批量倒入或通过标本传输轨道无缝对接自动导入，不限量随时添加；支持连接无缝对接轨道，将分拣后的标本通过轨道传输至指定位置或检验流水线进样模块</w:t>
                  </w:r>
                </w:p>
              </w:tc>
            </w:tr>
            <w:tr w14:paraId="4C24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25" w:type="dxa"/>
                  <w:vAlign w:val="center"/>
                </w:tcPr>
                <w:p w14:paraId="06A9152A">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p>
              </w:tc>
              <w:tc>
                <w:tcPr>
                  <w:tcW w:w="2063" w:type="dxa"/>
                  <w:vAlign w:val="center"/>
                </w:tcPr>
                <w:p w14:paraId="71FBFE8D">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超时送检样本拒收功能</w:t>
                  </w:r>
                </w:p>
              </w:tc>
              <w:tc>
                <w:tcPr>
                  <w:tcW w:w="6629" w:type="dxa"/>
                  <w:vAlign w:val="center"/>
                </w:tcPr>
                <w:p w14:paraId="198DE9F8">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若样本采集时间与接收时间差超出指标允许范围，系统可自动拒收样本，将样本分拣至废管收集盒，并在控制电脑上予以提示</w:t>
                  </w:r>
                </w:p>
              </w:tc>
            </w:tr>
            <w:tr w14:paraId="6EE6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25" w:type="dxa"/>
                  <w:vAlign w:val="center"/>
                </w:tcPr>
                <w:p w14:paraId="306A93D4">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p>
              </w:tc>
              <w:tc>
                <w:tcPr>
                  <w:tcW w:w="2063" w:type="dxa"/>
                  <w:vAlign w:val="center"/>
                </w:tcPr>
                <w:p w14:paraId="4BECFC24">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应急接收功能</w:t>
                  </w:r>
                </w:p>
              </w:tc>
              <w:tc>
                <w:tcPr>
                  <w:tcW w:w="6629" w:type="dxa"/>
                  <w:vAlign w:val="center"/>
                </w:tcPr>
                <w:p w14:paraId="1BBCBBA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标本条码、分拣仪器发生异常时，可通过控制电脑的扫描设备进行人工扫描核收及分类</w:t>
                  </w:r>
                </w:p>
              </w:tc>
            </w:tr>
            <w:tr w14:paraId="3160E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25" w:type="dxa"/>
                  <w:vAlign w:val="center"/>
                </w:tcPr>
                <w:p w14:paraId="66C82363">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p>
              </w:tc>
              <w:tc>
                <w:tcPr>
                  <w:tcW w:w="2063" w:type="dxa"/>
                  <w:vAlign w:val="center"/>
                </w:tcPr>
                <w:p w14:paraId="29E8D79D">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信息对接</w:t>
                  </w:r>
                </w:p>
              </w:tc>
              <w:tc>
                <w:tcPr>
                  <w:tcW w:w="6629" w:type="dxa"/>
                  <w:vAlign w:val="center"/>
                </w:tcPr>
                <w:p w14:paraId="79993D2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Style w:val="120"/>
                      <w:rFonts w:eastAsia="宋体"/>
                      <w:color w:val="auto"/>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标本条码、分拣仪器发生异常时，可通过控制电脑的扫描设备进行人工扫描核收及分类</w:t>
                  </w:r>
                </w:p>
              </w:tc>
            </w:tr>
            <w:tr w14:paraId="4EF08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725" w:type="dxa"/>
                  <w:vAlign w:val="center"/>
                </w:tcPr>
                <w:p w14:paraId="7EAD199E">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w:t>
                  </w:r>
                </w:p>
              </w:tc>
              <w:tc>
                <w:tcPr>
                  <w:tcW w:w="2063" w:type="dxa"/>
                  <w:vAlign w:val="center"/>
                </w:tcPr>
                <w:p w14:paraId="065925A8">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支持试管</w:t>
                  </w:r>
                </w:p>
              </w:tc>
              <w:tc>
                <w:tcPr>
                  <w:tcW w:w="6629" w:type="dxa"/>
                  <w:vAlign w:val="center"/>
                </w:tcPr>
                <w:p w14:paraId="4DFA69E3">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Style w:val="120"/>
                      <w:rFonts w:eastAsia="宋体"/>
                      <w:color w:val="auto"/>
                      <w:sz w:val="24"/>
                      <w:szCs w:val="24"/>
                      <w:highlight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直径12—18mm,长度75—110mm;支持带盖采血管，塑管、玻璃管等</w:t>
                  </w:r>
                </w:p>
              </w:tc>
            </w:tr>
            <w:tr w14:paraId="30A4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25" w:type="dxa"/>
                  <w:vAlign w:val="center"/>
                </w:tcPr>
                <w:p w14:paraId="1239BE9F">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w:t>
                  </w:r>
                </w:p>
              </w:tc>
              <w:tc>
                <w:tcPr>
                  <w:tcW w:w="2063" w:type="dxa"/>
                  <w:vAlign w:val="center"/>
                </w:tcPr>
                <w:p w14:paraId="37E138E0">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分拣仓容量</w:t>
                  </w:r>
                </w:p>
              </w:tc>
              <w:tc>
                <w:tcPr>
                  <w:tcW w:w="6629" w:type="dxa"/>
                  <w:vAlign w:val="center"/>
                </w:tcPr>
                <w:p w14:paraId="04B06434">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Style w:val="120"/>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16仓位，可定制随意扩展仓位；容量：</w:t>
                  </w:r>
                  <w:r>
                    <w:rPr>
                      <w:rStyle w:val="120"/>
                      <w:color w:val="auto"/>
                      <w:sz w:val="24"/>
                      <w:szCs w:val="24"/>
                      <w:highlight w:val="none"/>
                      <w:lang w:val="en-US" w:eastAsia="zh-CN" w:bidi="ar"/>
                    </w:rPr>
                    <w:t>≥1500管</w:t>
                  </w:r>
                </w:p>
              </w:tc>
            </w:tr>
            <w:tr w14:paraId="43E9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25" w:type="dxa"/>
                  <w:vAlign w:val="center"/>
                </w:tcPr>
                <w:p w14:paraId="7597C255">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w:t>
                  </w:r>
                </w:p>
              </w:tc>
              <w:tc>
                <w:tcPr>
                  <w:tcW w:w="2063" w:type="dxa"/>
                  <w:vAlign w:val="center"/>
                </w:tcPr>
                <w:p w14:paraId="494BD3D4">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分拣速度</w:t>
                  </w:r>
                </w:p>
              </w:tc>
              <w:tc>
                <w:tcPr>
                  <w:tcW w:w="6629" w:type="dxa"/>
                  <w:vAlign w:val="center"/>
                </w:tcPr>
                <w:p w14:paraId="41779BCD">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Style w:val="120"/>
                      <w:color w:val="auto"/>
                      <w:sz w:val="24"/>
                      <w:szCs w:val="24"/>
                      <w:highlight w:val="none"/>
                      <w:lang w:val="en-US" w:eastAsia="zh-CN" w:bidi="ar"/>
                    </w:rPr>
                    <w:t>≥3000管/小时</w:t>
                  </w:r>
                </w:p>
              </w:tc>
            </w:tr>
            <w:tr w14:paraId="2E86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5" w:type="dxa"/>
                  <w:vAlign w:val="center"/>
                </w:tcPr>
                <w:p w14:paraId="534C3B0E">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w:t>
                  </w:r>
                </w:p>
              </w:tc>
              <w:tc>
                <w:tcPr>
                  <w:tcW w:w="2063" w:type="dxa"/>
                  <w:vAlign w:val="center"/>
                </w:tcPr>
                <w:p w14:paraId="61D42E40">
                  <w:pPr>
                    <w:keepNext w:val="0"/>
                    <w:keepLines w:val="0"/>
                    <w:pageBreakBefore w:val="0"/>
                    <w:kinsoku/>
                    <w:wordWrap/>
                    <w:overflowPunct/>
                    <w:topLinePunct w:val="0"/>
                    <w:autoSpaceDE/>
                    <w:autoSpaceDN/>
                    <w:bidi w:val="0"/>
                    <w:snapToGrid/>
                    <w:spacing w:beforeAutospacing="0" w:afterAutospacing="0" w:line="30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试管出仓</w:t>
                  </w:r>
                </w:p>
              </w:tc>
              <w:tc>
                <w:tcPr>
                  <w:tcW w:w="6629" w:type="dxa"/>
                  <w:vAlign w:val="center"/>
                </w:tcPr>
                <w:p w14:paraId="69A63D26">
                  <w:pPr>
                    <w:keepNext w:val="0"/>
                    <w:keepLines w:val="0"/>
                    <w:pageBreakBefore w:val="0"/>
                    <w:kinsoku/>
                    <w:wordWrap/>
                    <w:overflowPunct/>
                    <w:topLinePunct w:val="0"/>
                    <w:autoSpaceDE/>
                    <w:autoSpaceDN/>
                    <w:bidi w:val="0"/>
                    <w:snapToGrid/>
                    <w:spacing w:beforeAutospacing="0" w:afterAutospacing="0" w:line="300" w:lineRule="auto"/>
                    <w:ind w:left="0" w:leftChars="0" w:firstLine="480"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试管出仓</w:t>
                  </w:r>
                </w:p>
              </w:tc>
            </w:tr>
          </w:tbl>
          <w:p w14:paraId="6170B424">
            <w:pPr>
              <w:pStyle w:val="3"/>
              <w:jc w:val="both"/>
              <w:rPr>
                <w:rFonts w:hint="eastAsia"/>
                <w:color w:val="auto"/>
                <w:highlight w:val="none"/>
                <w:lang w:val="en-US" w:eastAsia="zh-CN"/>
              </w:rPr>
            </w:pPr>
          </w:p>
        </w:tc>
      </w:tr>
    </w:tbl>
    <w:p w14:paraId="59D594B6">
      <w:pPr>
        <w:widowControl/>
        <w:numPr>
          <w:ilvl w:val="0"/>
          <w:numId w:val="0"/>
        </w:numPr>
        <w:wordWrap/>
        <w:topLinePunct w:val="0"/>
        <w:bidi w:val="0"/>
        <w:spacing w:line="300" w:lineRule="auto"/>
        <w:ind w:firstLine="482" w:firstLineChars="200"/>
        <w:contextualSpacing/>
        <w:jc w:val="left"/>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（五）系统实施要求</w:t>
      </w:r>
      <w:bookmarkEnd w:id="229"/>
    </w:p>
    <w:p w14:paraId="66224E21">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1</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en-US" w:bidi="ar-SA"/>
        </w:rPr>
        <w:t>总体</w:t>
      </w:r>
      <w:r>
        <w:rPr>
          <w:rFonts w:hint="default" w:ascii="Times New Roman" w:hAnsi="Times New Roman" w:eastAsia="宋体" w:cs="Times New Roman"/>
          <w:color w:val="auto"/>
          <w:kern w:val="0"/>
          <w:sz w:val="24"/>
          <w:szCs w:val="24"/>
          <w:highlight w:val="none"/>
          <w:lang w:val="en-US" w:eastAsia="zh-CN" w:bidi="ar-SA"/>
        </w:rPr>
        <w:t>实施</w:t>
      </w:r>
      <w:r>
        <w:rPr>
          <w:rFonts w:hint="default" w:ascii="Times New Roman" w:hAnsi="Times New Roman" w:eastAsia="宋体" w:cs="Times New Roman"/>
          <w:color w:val="auto"/>
          <w:kern w:val="0"/>
          <w:sz w:val="24"/>
          <w:szCs w:val="24"/>
          <w:highlight w:val="none"/>
          <w:lang w:val="en-US" w:eastAsia="en-US" w:bidi="ar-SA"/>
        </w:rPr>
        <w:t>要求</w:t>
      </w:r>
    </w:p>
    <w:p w14:paraId="098406BE">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（1）中标人</w:t>
      </w:r>
      <w:r>
        <w:rPr>
          <w:rFonts w:hint="default" w:ascii="Times New Roman" w:hAnsi="Times New Roman" w:eastAsia="宋体" w:cs="Times New Roman"/>
          <w:color w:val="auto"/>
          <w:kern w:val="0"/>
          <w:sz w:val="24"/>
          <w:szCs w:val="24"/>
          <w:highlight w:val="none"/>
          <w:lang w:val="en-US" w:eastAsia="en-US" w:bidi="ar-SA"/>
        </w:rPr>
        <w:t>在项目服务期间应制定项目安全实施管理措施，并严格遵守安全管理要求，</w:t>
      </w:r>
      <w:r>
        <w:rPr>
          <w:rFonts w:hint="default"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在项目服务过程中因管理不当、维护措施不当等因素或不按安全管理要求，造成人员安全或财产损失事故的，其责</w:t>
      </w:r>
      <w:r>
        <w:rPr>
          <w:rFonts w:hint="default" w:ascii="Times New Roman" w:hAnsi="Times New Roman" w:eastAsia="宋体" w:cs="Times New Roman"/>
          <w:color w:val="auto"/>
          <w:spacing w:val="7"/>
          <w:kern w:val="0"/>
          <w:sz w:val="24"/>
          <w:szCs w:val="24"/>
          <w:highlight w:val="none"/>
          <w:lang w:val="en-US" w:eastAsia="zh-CN" w:bidi="ar-SA"/>
        </w:rPr>
        <w:t>投标人针对本项目拟配备的项目组成员中，具有</w:t>
      </w:r>
      <w:r>
        <w:rPr>
          <w:rFonts w:hint="eastAsia" w:ascii="Times New Roman" w:hAnsi="Times New Roman" w:eastAsia="宋体" w:cs="Times New Roman"/>
          <w:color w:val="auto"/>
          <w:spacing w:val="7"/>
          <w:kern w:val="0"/>
          <w:sz w:val="24"/>
          <w:szCs w:val="24"/>
          <w:highlight w:val="none"/>
          <w:lang w:val="en-US" w:eastAsia="zh-CN" w:bidi="ar-SA"/>
        </w:rPr>
        <w:t>高级信息系统项目管理师证书、具有系统集成项目管理证书、数据库系统工程师证书、系统架构设计证书师（或软件设计师）</w:t>
      </w:r>
      <w:r>
        <w:rPr>
          <w:rFonts w:hint="default" w:ascii="Times New Roman" w:hAnsi="Times New Roman" w:eastAsia="宋体" w:cs="Times New Roman"/>
          <w:color w:val="auto"/>
          <w:kern w:val="0"/>
          <w:sz w:val="24"/>
          <w:szCs w:val="24"/>
          <w:highlight w:val="none"/>
          <w:lang w:val="en-US" w:eastAsia="en-US" w:bidi="ar-SA"/>
        </w:rPr>
        <w:t>，采购人不承担责任。</w:t>
      </w:r>
    </w:p>
    <w:p w14:paraId="23BADC3B">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（2）</w:t>
      </w:r>
      <w:r>
        <w:rPr>
          <w:rFonts w:hint="default" w:ascii="Times New Roman" w:hAnsi="Times New Roman" w:eastAsia="宋体" w:cs="Times New Roman"/>
          <w:color w:val="auto"/>
          <w:kern w:val="0"/>
          <w:sz w:val="24"/>
          <w:szCs w:val="24"/>
          <w:highlight w:val="none"/>
          <w:lang w:val="en-US" w:eastAsia="en-US" w:bidi="ar-SA"/>
        </w:rPr>
        <w:t>如因</w:t>
      </w:r>
      <w:r>
        <w:rPr>
          <w:rFonts w:hint="default"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投入人员过少原因，造成无法在承诺工期内完成服务，由此产生的一切责任由</w:t>
      </w:r>
      <w:r>
        <w:rPr>
          <w:rFonts w:hint="default"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承担。</w:t>
      </w:r>
    </w:p>
    <w:p w14:paraId="68B94406">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2</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人员要求</w:t>
      </w:r>
    </w:p>
    <w:p w14:paraId="4494EA17">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en-US" w:bidi="ar-SA"/>
        </w:rPr>
        <w:t>供应商应熟悉本项目相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w:t>
      </w:r>
    </w:p>
    <w:p w14:paraId="34B18554">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3</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en-US" w:bidi="ar-SA"/>
        </w:rPr>
        <w:t>售后服务要求</w:t>
      </w:r>
    </w:p>
    <w:p w14:paraId="78B840A3">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jc w:val="both"/>
        <w:textAlignment w:val="auto"/>
        <w:rPr>
          <w:rFonts w:hint="default" w:ascii="Times New Roman" w:hAnsi="Times New Roman" w:eastAsia="宋体" w:cs="Times New Roman"/>
          <w:i/>
          <w:iCs/>
          <w:color w:val="auto"/>
          <w:kern w:val="2"/>
          <w:sz w:val="24"/>
          <w:szCs w:val="24"/>
          <w:highlight w:val="none"/>
          <w:u w:val="single"/>
          <w:lang w:val="en-US" w:eastAsia="zh-CN" w:bidi="ar-SA"/>
        </w:rPr>
      </w:pPr>
      <w:r>
        <w:rPr>
          <w:rFonts w:hint="default" w:ascii="Times New Roman" w:hAnsi="Times New Roman" w:eastAsia="宋体" w:cs="Times New Roman"/>
          <w:i/>
          <w:iCs/>
          <w:color w:val="auto"/>
          <w:kern w:val="2"/>
          <w:sz w:val="24"/>
          <w:szCs w:val="24"/>
          <w:highlight w:val="none"/>
          <w:u w:val="single"/>
          <w:lang w:val="en-US" w:eastAsia="zh-CN" w:bidi="ar-SA"/>
        </w:rPr>
        <w:t>（</w:t>
      </w:r>
      <w:r>
        <w:rPr>
          <w:rFonts w:hint="eastAsia" w:ascii="Times New Roman" w:hAnsi="Times New Roman" w:eastAsia="宋体" w:cs="Times New Roman"/>
          <w:i/>
          <w:iCs/>
          <w:color w:val="auto"/>
          <w:kern w:val="2"/>
          <w:sz w:val="24"/>
          <w:szCs w:val="24"/>
          <w:highlight w:val="none"/>
          <w:u w:val="single"/>
          <w:lang w:val="en-US" w:eastAsia="zh-CN" w:bidi="ar-SA"/>
        </w:rPr>
        <w:t>1</w:t>
      </w:r>
      <w:r>
        <w:rPr>
          <w:rFonts w:hint="default" w:ascii="Times New Roman" w:hAnsi="Times New Roman" w:eastAsia="宋体" w:cs="Times New Roman"/>
          <w:i/>
          <w:iCs/>
          <w:color w:val="auto"/>
          <w:kern w:val="2"/>
          <w:sz w:val="24"/>
          <w:szCs w:val="24"/>
          <w:highlight w:val="none"/>
          <w:u w:val="single"/>
          <w:lang w:val="en-US" w:eastAsia="zh-CN" w:bidi="ar-SA"/>
        </w:rPr>
        <w:t>）中标人有可靠的售后服务响应保障，能提供正常的技术服务。中标人在接到采购人的维修电话后</w:t>
      </w:r>
      <w:r>
        <w:rPr>
          <w:rFonts w:hint="eastAsia" w:ascii="Times New Roman" w:hAnsi="Times New Roman" w:eastAsia="宋体" w:cs="Times New Roman"/>
          <w:i/>
          <w:iCs/>
          <w:color w:val="auto"/>
          <w:kern w:val="2"/>
          <w:sz w:val="24"/>
          <w:szCs w:val="24"/>
          <w:highlight w:val="none"/>
          <w:u w:val="single"/>
          <w:lang w:val="en-US" w:eastAsia="zh-CN" w:bidi="ar-SA"/>
        </w:rPr>
        <w:t>10分钟</w:t>
      </w:r>
      <w:r>
        <w:rPr>
          <w:rFonts w:hint="default" w:ascii="Times New Roman" w:hAnsi="Times New Roman" w:eastAsia="宋体" w:cs="Times New Roman"/>
          <w:i/>
          <w:iCs/>
          <w:color w:val="auto"/>
          <w:kern w:val="2"/>
          <w:sz w:val="24"/>
          <w:szCs w:val="24"/>
          <w:highlight w:val="none"/>
          <w:u w:val="single"/>
          <w:lang w:val="en-US" w:eastAsia="zh-CN" w:bidi="ar-SA"/>
        </w:rPr>
        <w:t>内予以电话支持，若</w:t>
      </w:r>
      <w:r>
        <w:rPr>
          <w:rFonts w:hint="eastAsia" w:ascii="Times New Roman" w:hAnsi="Times New Roman" w:eastAsia="宋体" w:cs="Times New Roman"/>
          <w:i/>
          <w:iCs/>
          <w:color w:val="auto"/>
          <w:kern w:val="2"/>
          <w:sz w:val="24"/>
          <w:szCs w:val="24"/>
          <w:highlight w:val="none"/>
          <w:u w:val="single"/>
          <w:lang w:val="en-US" w:eastAsia="zh-CN" w:bidi="ar-SA"/>
        </w:rPr>
        <w:t>30分钟</w:t>
      </w:r>
      <w:r>
        <w:rPr>
          <w:rFonts w:hint="default" w:ascii="Times New Roman" w:hAnsi="Times New Roman" w:eastAsia="宋体" w:cs="Times New Roman"/>
          <w:i/>
          <w:iCs/>
          <w:color w:val="auto"/>
          <w:kern w:val="2"/>
          <w:sz w:val="24"/>
          <w:szCs w:val="24"/>
          <w:highlight w:val="none"/>
          <w:u w:val="single"/>
          <w:lang w:val="en-US" w:eastAsia="zh-CN" w:bidi="ar-SA"/>
        </w:rPr>
        <w:t>内无法解决问题，应在</w:t>
      </w:r>
      <w:r>
        <w:rPr>
          <w:rFonts w:hint="eastAsia" w:ascii="Times New Roman" w:hAnsi="Times New Roman" w:eastAsia="宋体" w:cs="Times New Roman"/>
          <w:i/>
          <w:iCs/>
          <w:color w:val="auto"/>
          <w:kern w:val="2"/>
          <w:sz w:val="24"/>
          <w:szCs w:val="24"/>
          <w:highlight w:val="none"/>
          <w:u w:val="single"/>
          <w:lang w:val="en-US" w:eastAsia="zh-CN" w:bidi="ar-SA"/>
        </w:rPr>
        <w:t>1</w:t>
      </w:r>
      <w:r>
        <w:rPr>
          <w:rFonts w:hint="default" w:ascii="Times New Roman" w:hAnsi="Times New Roman" w:eastAsia="宋体" w:cs="Times New Roman"/>
          <w:i/>
          <w:iCs/>
          <w:color w:val="auto"/>
          <w:kern w:val="2"/>
          <w:sz w:val="24"/>
          <w:szCs w:val="24"/>
          <w:highlight w:val="none"/>
          <w:u w:val="single"/>
          <w:lang w:val="en-US" w:eastAsia="zh-CN" w:bidi="ar-SA"/>
        </w:rPr>
        <w:t>小时内进行应急处理，以保证采购人的正常使用，否则由于故障造成的全部损失由中标人承担。其他未尽事宜按其中标人所提供的相应承诺执行。</w:t>
      </w:r>
    </w:p>
    <w:p w14:paraId="3AAD7756">
      <w:pPr>
        <w:widowControl w:val="0"/>
        <w:wordWrap/>
        <w:topLinePunct w:val="0"/>
        <w:bidi w:val="0"/>
        <w:spacing w:line="300" w:lineRule="auto"/>
        <w:ind w:left="0" w:leftChars="0" w:firstLine="480" w:firstLineChars="200"/>
        <w:jc w:val="both"/>
        <w:rPr>
          <w:rFonts w:hint="default" w:ascii="Times New Roman" w:hAnsi="Times New Roman" w:eastAsia="宋体" w:cs="Times New Roman"/>
          <w:i/>
          <w:iCs/>
          <w:color w:val="auto"/>
          <w:kern w:val="2"/>
          <w:sz w:val="24"/>
          <w:szCs w:val="24"/>
          <w:highlight w:val="none"/>
          <w:u w:val="single"/>
          <w:lang w:val="en-US" w:eastAsia="zh-CN" w:bidi="ar-SA"/>
        </w:rPr>
      </w:pPr>
      <w:r>
        <w:rPr>
          <w:rFonts w:hint="default" w:ascii="Times New Roman" w:hAnsi="Times New Roman" w:eastAsia="宋体" w:cs="Times New Roman"/>
          <w:i/>
          <w:iCs/>
          <w:color w:val="auto"/>
          <w:kern w:val="2"/>
          <w:sz w:val="24"/>
          <w:szCs w:val="24"/>
          <w:highlight w:val="none"/>
          <w:u w:val="single"/>
          <w:lang w:val="en-US" w:eastAsia="zh-CN" w:bidi="ar-SA"/>
        </w:rPr>
        <w:t>（</w:t>
      </w:r>
      <w:r>
        <w:rPr>
          <w:rFonts w:hint="eastAsia" w:ascii="Times New Roman" w:hAnsi="Times New Roman" w:eastAsia="宋体" w:cs="Times New Roman"/>
          <w:i/>
          <w:iCs/>
          <w:color w:val="auto"/>
          <w:kern w:val="2"/>
          <w:sz w:val="24"/>
          <w:szCs w:val="24"/>
          <w:highlight w:val="none"/>
          <w:u w:val="single"/>
          <w:lang w:val="en-US" w:eastAsia="zh-CN" w:bidi="ar-SA"/>
        </w:rPr>
        <w:t>2</w:t>
      </w:r>
      <w:r>
        <w:rPr>
          <w:rFonts w:hint="default" w:ascii="Times New Roman" w:hAnsi="Times New Roman" w:eastAsia="宋体" w:cs="Times New Roman"/>
          <w:i/>
          <w:iCs/>
          <w:color w:val="auto"/>
          <w:kern w:val="2"/>
          <w:sz w:val="24"/>
          <w:szCs w:val="24"/>
          <w:highlight w:val="none"/>
          <w:u w:val="single"/>
          <w:lang w:val="en-US" w:eastAsia="zh-CN" w:bidi="ar-SA"/>
        </w:rPr>
        <w:t>）</w:t>
      </w:r>
      <w:r>
        <w:rPr>
          <w:rFonts w:hint="eastAsia" w:ascii="Times New Roman" w:hAnsi="Times New Roman" w:eastAsia="宋体" w:cs="Times New Roman"/>
          <w:i/>
          <w:iCs/>
          <w:color w:val="auto"/>
          <w:kern w:val="2"/>
          <w:sz w:val="24"/>
          <w:szCs w:val="24"/>
          <w:highlight w:val="none"/>
          <w:u w:val="single"/>
          <w:lang w:val="en-US" w:eastAsia="zh-CN" w:bidi="ar-SA"/>
        </w:rPr>
        <w:t>全生命周期内</w:t>
      </w:r>
      <w:r>
        <w:rPr>
          <w:rFonts w:hint="default" w:ascii="Times New Roman" w:hAnsi="Times New Roman" w:eastAsia="宋体" w:cs="Times New Roman"/>
          <w:i/>
          <w:iCs/>
          <w:color w:val="auto"/>
          <w:kern w:val="2"/>
          <w:sz w:val="24"/>
          <w:szCs w:val="24"/>
          <w:highlight w:val="none"/>
          <w:u w:val="single"/>
          <w:lang w:val="en-US" w:eastAsia="zh-CN" w:bidi="ar-SA"/>
        </w:rPr>
        <w:t>根据医院要求免费部署医院医共体单位并提供数据对接服务</w:t>
      </w:r>
      <w:r>
        <w:rPr>
          <w:rFonts w:hint="eastAsia" w:ascii="Times New Roman" w:hAnsi="Times New Roman" w:eastAsia="宋体" w:cs="Times New Roman"/>
          <w:i/>
          <w:iCs/>
          <w:color w:val="auto"/>
          <w:kern w:val="2"/>
          <w:sz w:val="24"/>
          <w:szCs w:val="24"/>
          <w:highlight w:val="none"/>
          <w:u w:val="single"/>
          <w:lang w:val="en-US" w:eastAsia="zh-CN" w:bidi="ar-SA"/>
        </w:rPr>
        <w:t>（以中标方的软件接口为准）</w:t>
      </w:r>
      <w:r>
        <w:rPr>
          <w:rFonts w:hint="default" w:ascii="Times New Roman" w:hAnsi="Times New Roman" w:eastAsia="宋体" w:cs="Times New Roman"/>
          <w:i/>
          <w:iCs/>
          <w:color w:val="auto"/>
          <w:kern w:val="2"/>
          <w:sz w:val="24"/>
          <w:szCs w:val="24"/>
          <w:highlight w:val="none"/>
          <w:u w:val="single"/>
          <w:lang w:val="en-US" w:eastAsia="zh-CN" w:bidi="ar-SA"/>
        </w:rPr>
        <w:t>。</w:t>
      </w:r>
      <w:r>
        <w:rPr>
          <w:rFonts w:hint="eastAsia" w:ascii="Times New Roman" w:hAnsi="Times New Roman" w:eastAsia="宋体" w:cs="Times New Roman"/>
          <w:i/>
          <w:iCs/>
          <w:color w:val="auto"/>
          <w:kern w:val="2"/>
          <w:sz w:val="24"/>
          <w:szCs w:val="24"/>
          <w:highlight w:val="none"/>
          <w:u w:val="single"/>
          <w:lang w:val="en-US" w:eastAsia="zh-CN" w:bidi="ar-SA"/>
        </w:rPr>
        <w:t>（投标时提供承诺函并加盖公章）</w:t>
      </w:r>
    </w:p>
    <w:p w14:paraId="0E8DD7F4">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4</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en-US" w:bidi="ar-SA"/>
        </w:rPr>
        <w:t>培训要求</w:t>
      </w:r>
    </w:p>
    <w:p w14:paraId="1C5A7A5A">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（1）</w:t>
      </w:r>
      <w:r>
        <w:rPr>
          <w:rFonts w:hint="default" w:ascii="Times New Roman" w:hAnsi="Times New Roman" w:eastAsia="宋体" w:cs="Times New Roman"/>
          <w:color w:val="auto"/>
          <w:kern w:val="0"/>
          <w:sz w:val="24"/>
          <w:szCs w:val="24"/>
          <w:highlight w:val="none"/>
          <w:lang w:val="en-US" w:eastAsia="en-US" w:bidi="ar-SA"/>
        </w:rPr>
        <w:t>培训方式：现场实地培训，通过技术培训结合现场操作对维护管理和实际操作人员培训，使他们对产品及技术有较深的理解，能熟练</w:t>
      </w:r>
      <w:r>
        <w:rPr>
          <w:rFonts w:hint="default" w:ascii="Times New Roman" w:hAnsi="Times New Roman" w:eastAsia="宋体" w:cs="Times New Roman"/>
          <w:color w:val="auto"/>
          <w:kern w:val="0"/>
          <w:sz w:val="24"/>
          <w:szCs w:val="24"/>
          <w:highlight w:val="none"/>
          <w:lang w:val="en-US" w:eastAsia="zh-CN" w:bidi="ar-SA"/>
        </w:rPr>
        <w:t>的</w:t>
      </w:r>
      <w:r>
        <w:rPr>
          <w:rFonts w:hint="default" w:ascii="Times New Roman" w:hAnsi="Times New Roman" w:eastAsia="宋体" w:cs="Times New Roman"/>
          <w:color w:val="auto"/>
          <w:kern w:val="0"/>
          <w:sz w:val="24"/>
          <w:szCs w:val="24"/>
          <w:highlight w:val="none"/>
          <w:lang w:val="en-US" w:eastAsia="en-US" w:bidi="ar-SA"/>
        </w:rPr>
        <w:t>进行系统操作。</w:t>
      </w:r>
    </w:p>
    <w:p w14:paraId="0FBEBB72">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（2）</w:t>
      </w:r>
      <w:r>
        <w:rPr>
          <w:rFonts w:hint="default" w:ascii="Times New Roman" w:hAnsi="Times New Roman" w:eastAsia="宋体" w:cs="Times New Roman"/>
          <w:color w:val="auto"/>
          <w:kern w:val="0"/>
          <w:sz w:val="24"/>
          <w:szCs w:val="24"/>
          <w:highlight w:val="none"/>
          <w:lang w:val="en-US" w:eastAsia="en-US" w:bidi="ar-SA"/>
        </w:rPr>
        <w:t>培训人员：要求</w:t>
      </w:r>
      <w:r>
        <w:rPr>
          <w:rFonts w:hint="default" w:ascii="Times New Roman" w:hAnsi="Times New Roman" w:eastAsia="宋体" w:cs="Times New Roman"/>
          <w:color w:val="auto"/>
          <w:kern w:val="0"/>
          <w:sz w:val="24"/>
          <w:szCs w:val="24"/>
          <w:highlight w:val="none"/>
          <w:lang w:val="en-US" w:eastAsia="zh-CN" w:bidi="ar-SA"/>
        </w:rPr>
        <w:t>3</w:t>
      </w:r>
      <w:r>
        <w:rPr>
          <w:rFonts w:hint="default" w:ascii="Times New Roman" w:hAnsi="Times New Roman" w:eastAsia="宋体" w:cs="Times New Roman"/>
          <w:color w:val="auto"/>
          <w:kern w:val="0"/>
          <w:sz w:val="24"/>
          <w:szCs w:val="24"/>
          <w:highlight w:val="none"/>
          <w:lang w:val="en-US" w:eastAsia="en-US" w:bidi="ar-SA"/>
        </w:rPr>
        <w:t>年以上行业经验的工程师或系统培训人员完成对相关管理维护、操作人员的培训。培训地点及场次：由采购人按需指定。</w:t>
      </w:r>
    </w:p>
    <w:p w14:paraId="5DEF238A">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5</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知识产权要求</w:t>
      </w:r>
    </w:p>
    <w:p w14:paraId="4E48B953">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（1）</w:t>
      </w:r>
      <w:r>
        <w:rPr>
          <w:rFonts w:hint="default" w:ascii="Times New Roman" w:hAnsi="Times New Roman" w:eastAsia="宋体" w:cs="Times New Roman"/>
          <w:color w:val="auto"/>
          <w:kern w:val="0"/>
          <w:sz w:val="24"/>
          <w:szCs w:val="24"/>
          <w:highlight w:val="none"/>
          <w:lang w:val="en-US" w:eastAsia="en-US" w:bidi="ar-SA"/>
        </w:rPr>
        <w:t>供应商保证所提供服务等涉及到的知识产权和所提供的软件、技术资料是合法取得，并享有完整的知识产权，不会因为采购人的使用而被责令停止使用、追偿或要求赔偿损失，如出现此情况，一切经济和法律责任均由供应商承担。</w:t>
      </w:r>
    </w:p>
    <w:p w14:paraId="59F756CB">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i/>
          <w:iCs/>
          <w:color w:val="auto"/>
          <w:kern w:val="0"/>
          <w:sz w:val="24"/>
          <w:szCs w:val="24"/>
          <w:highlight w:val="none"/>
          <w:u w:val="single"/>
          <w:lang w:val="en-US" w:eastAsia="en-US" w:bidi="ar-SA"/>
        </w:rPr>
      </w:pPr>
      <w:r>
        <w:rPr>
          <w:rFonts w:hint="default" w:ascii="Times New Roman" w:hAnsi="Times New Roman" w:eastAsia="宋体" w:cs="Times New Roman"/>
          <w:i/>
          <w:iCs/>
          <w:color w:val="auto"/>
          <w:kern w:val="0"/>
          <w:sz w:val="24"/>
          <w:szCs w:val="24"/>
          <w:highlight w:val="none"/>
          <w:u w:val="single"/>
          <w:lang w:val="en-US" w:eastAsia="zh-CN" w:bidi="ar-SA"/>
        </w:rPr>
        <w:t>（2）</w:t>
      </w:r>
      <w:r>
        <w:rPr>
          <w:rFonts w:hint="default" w:ascii="Times New Roman" w:hAnsi="Times New Roman" w:eastAsia="宋体" w:cs="Times New Roman"/>
          <w:i/>
          <w:iCs/>
          <w:color w:val="auto"/>
          <w:kern w:val="0"/>
          <w:sz w:val="24"/>
          <w:szCs w:val="24"/>
          <w:highlight w:val="none"/>
          <w:u w:val="single"/>
          <w:lang w:val="en-US" w:eastAsia="en-US" w:bidi="ar-SA"/>
        </w:rPr>
        <w:t>采购</w:t>
      </w:r>
      <w:r>
        <w:rPr>
          <w:rFonts w:hint="eastAsia" w:ascii="Times New Roman" w:hAnsi="Times New Roman" w:eastAsia="宋体" w:cs="Times New Roman"/>
          <w:i/>
          <w:iCs/>
          <w:color w:val="auto"/>
          <w:kern w:val="0"/>
          <w:sz w:val="24"/>
          <w:szCs w:val="24"/>
          <w:highlight w:val="none"/>
          <w:u w:val="single"/>
          <w:lang w:val="en-US" w:eastAsia="zh-CN" w:bidi="ar-SA"/>
        </w:rPr>
        <w:t>人</w:t>
      </w:r>
      <w:r>
        <w:rPr>
          <w:rFonts w:hint="default" w:ascii="Times New Roman" w:hAnsi="Times New Roman" w:eastAsia="宋体" w:cs="Times New Roman"/>
          <w:i/>
          <w:iCs/>
          <w:color w:val="auto"/>
          <w:kern w:val="0"/>
          <w:sz w:val="24"/>
          <w:szCs w:val="24"/>
          <w:highlight w:val="none"/>
          <w:u w:val="single"/>
          <w:lang w:val="en-US" w:eastAsia="en-US" w:bidi="ar-SA"/>
        </w:rPr>
        <w:t>具有所购软件的原厂正版软件授权和软件永久使用权。</w:t>
      </w:r>
    </w:p>
    <w:p w14:paraId="2ED12DE1">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0"/>
          <w:sz w:val="24"/>
          <w:szCs w:val="24"/>
          <w:highlight w:val="none"/>
          <w:lang w:val="en-US" w:eastAsia="zh-CN" w:bidi="ar-SA"/>
        </w:rPr>
        <w:t>6</w:t>
      </w:r>
      <w:r>
        <w:rPr>
          <w:rFonts w:hint="eastAsia" w:ascii="Times New Roman" w:hAnsi="Times New Roman" w:eastAsia="宋体" w:cs="Times New Roman"/>
          <w:color w:val="auto"/>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SA"/>
        </w:rPr>
        <w:t>保密要求</w:t>
      </w:r>
    </w:p>
    <w:p w14:paraId="326057BA">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（1）</w:t>
      </w:r>
      <w:r>
        <w:rPr>
          <w:rFonts w:hint="eastAsia"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负责对采购人所提供资料及最终成果的保密，</w:t>
      </w:r>
      <w:r>
        <w:rPr>
          <w:rFonts w:hint="eastAsia"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及其工作人员需遵守采购人的保密规定，不以任何形式将收集的资料、数据等进行泄漏、传播。</w:t>
      </w:r>
    </w:p>
    <w:p w14:paraId="20F1C992">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（2）</w:t>
      </w:r>
      <w:r>
        <w:rPr>
          <w:rFonts w:hint="default" w:ascii="Times New Roman" w:hAnsi="Times New Roman" w:eastAsia="宋体" w:cs="Times New Roman"/>
          <w:color w:val="auto"/>
          <w:kern w:val="0"/>
          <w:sz w:val="24"/>
          <w:szCs w:val="24"/>
          <w:highlight w:val="none"/>
          <w:lang w:val="en-US" w:eastAsia="en-US" w:bidi="ar-SA"/>
        </w:rPr>
        <w:t>项目服务人员须承担在工作中接触相关内容的保密义务。</w:t>
      </w:r>
    </w:p>
    <w:p w14:paraId="09530B63">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（3）</w:t>
      </w:r>
      <w:r>
        <w:rPr>
          <w:rFonts w:hint="default" w:ascii="Times New Roman" w:hAnsi="Times New Roman" w:eastAsia="宋体" w:cs="Times New Roman"/>
          <w:color w:val="auto"/>
          <w:kern w:val="0"/>
          <w:sz w:val="24"/>
          <w:szCs w:val="24"/>
          <w:highlight w:val="none"/>
          <w:lang w:val="en-US" w:eastAsia="en-US" w:bidi="ar-SA"/>
        </w:rPr>
        <w:t>项目成果最终所有权属采购人，在项目完成时</w:t>
      </w:r>
      <w:r>
        <w:rPr>
          <w:rFonts w:hint="eastAsia"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必须全部移交。</w:t>
      </w:r>
    </w:p>
    <w:p w14:paraId="57ED132D">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kern w:val="0"/>
          <w:sz w:val="24"/>
          <w:szCs w:val="24"/>
          <w:highlight w:val="none"/>
          <w:lang w:val="en-US" w:eastAsia="en-US" w:bidi="ar-SA"/>
        </w:rPr>
      </w:pPr>
      <w:r>
        <w:rPr>
          <w:rFonts w:hint="default" w:ascii="Times New Roman" w:hAnsi="Times New Roman" w:eastAsia="宋体" w:cs="Times New Roman"/>
          <w:color w:val="auto"/>
          <w:kern w:val="0"/>
          <w:sz w:val="24"/>
          <w:szCs w:val="24"/>
          <w:highlight w:val="none"/>
          <w:lang w:val="en-US" w:eastAsia="zh-CN" w:bidi="ar-SA"/>
        </w:rPr>
        <w:t>（4）</w:t>
      </w:r>
      <w:r>
        <w:rPr>
          <w:rFonts w:hint="eastAsia" w:ascii="Times New Roman" w:hAnsi="Times New Roman" w:eastAsia="宋体" w:cs="Times New Roman"/>
          <w:color w:val="auto"/>
          <w:kern w:val="0"/>
          <w:sz w:val="24"/>
          <w:szCs w:val="24"/>
          <w:highlight w:val="none"/>
          <w:lang w:val="en-US" w:eastAsia="zh-CN" w:bidi="ar-SA"/>
        </w:rPr>
        <w:t>中标人</w:t>
      </w:r>
      <w:r>
        <w:rPr>
          <w:rFonts w:hint="default" w:ascii="Times New Roman" w:hAnsi="Times New Roman" w:eastAsia="宋体" w:cs="Times New Roman"/>
          <w:color w:val="auto"/>
          <w:kern w:val="0"/>
          <w:sz w:val="24"/>
          <w:szCs w:val="24"/>
          <w:highlight w:val="none"/>
          <w:lang w:val="en-US" w:eastAsia="en-US" w:bidi="ar-SA"/>
        </w:rPr>
        <w:t>须维护项目服务成果，不得转让给第三方重复使用。</w:t>
      </w:r>
    </w:p>
    <w:p w14:paraId="45E6371B">
      <w:pPr>
        <w:widowControl/>
        <w:numPr>
          <w:ilvl w:val="0"/>
          <w:numId w:val="0"/>
        </w:numPr>
        <w:wordWrap/>
        <w:topLinePunct w:val="0"/>
        <w:bidi w:val="0"/>
        <w:spacing w:line="300" w:lineRule="auto"/>
        <w:ind w:firstLine="480" w:firstLineChars="200"/>
        <w:contextualSpacing/>
        <w:jc w:val="left"/>
        <w:rPr>
          <w:rFonts w:hint="eastAsia" w:ascii="宋体" w:hAnsi="宋体" w:eastAsia="宋体" w:cs="宋体"/>
          <w:i/>
          <w:iCs/>
          <w:color w:val="auto"/>
          <w:kern w:val="0"/>
          <w:sz w:val="24"/>
          <w:szCs w:val="24"/>
          <w:highlight w:val="none"/>
          <w:u w:val="single"/>
          <w:lang w:val="en-US" w:eastAsia="zh-CN" w:bidi="ar-SA"/>
        </w:rPr>
      </w:pPr>
      <w:r>
        <w:rPr>
          <w:rFonts w:hint="eastAsia" w:ascii="Times New Roman" w:hAnsi="Times New Roman" w:eastAsia="宋体" w:cs="Times New Roman"/>
          <w:i/>
          <w:iCs/>
          <w:color w:val="auto"/>
          <w:kern w:val="0"/>
          <w:sz w:val="24"/>
          <w:szCs w:val="24"/>
          <w:highlight w:val="none"/>
          <w:u w:val="single"/>
          <w:lang w:val="en-US" w:eastAsia="zh-CN" w:bidi="ar-SA"/>
        </w:rPr>
        <w:t>7．投标人所供系统满足</w:t>
      </w:r>
      <w:r>
        <w:rPr>
          <w:rFonts w:hint="eastAsia" w:ascii="宋体" w:hAnsi="宋体" w:eastAsia="宋体" w:cs="宋体"/>
          <w:i/>
          <w:iCs/>
          <w:color w:val="auto"/>
          <w:kern w:val="0"/>
          <w:sz w:val="24"/>
          <w:szCs w:val="24"/>
          <w:highlight w:val="none"/>
          <w:u w:val="single"/>
          <w:lang w:val="en-US" w:eastAsia="zh-CN" w:bidi="ar-SA"/>
        </w:rPr>
        <w:t>等保三级要求。</w:t>
      </w:r>
    </w:p>
    <w:p w14:paraId="6FA05C9F">
      <w:pPr>
        <w:widowControl/>
        <w:numPr>
          <w:ilvl w:val="0"/>
          <w:numId w:val="0"/>
        </w:numPr>
        <w:wordWrap/>
        <w:topLinePunct w:val="0"/>
        <w:bidi w:val="0"/>
        <w:spacing w:line="300" w:lineRule="auto"/>
        <w:ind w:firstLine="480" w:firstLineChars="200"/>
        <w:contextualSpacing/>
        <w:jc w:val="left"/>
        <w:rPr>
          <w:rFonts w:hint="default" w:ascii="宋体" w:hAnsi="宋体" w:eastAsia="宋体" w:cs="宋体"/>
          <w:i w:val="0"/>
          <w:iCs w:val="0"/>
          <w:color w:val="auto"/>
          <w:kern w:val="0"/>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SA"/>
        </w:rPr>
        <w:t>8．质保期内，中标人可以免费配合采购人具体需求对系统进行个性化开发工作。</w:t>
      </w:r>
    </w:p>
    <w:p w14:paraId="49E24CEB">
      <w:pPr>
        <w:widowControl/>
        <w:numPr>
          <w:ilvl w:val="0"/>
          <w:numId w:val="0"/>
        </w:numPr>
        <w:wordWrap/>
        <w:topLinePunct w:val="0"/>
        <w:bidi w:val="0"/>
        <w:spacing w:line="300" w:lineRule="auto"/>
        <w:ind w:firstLine="482" w:firstLineChars="200"/>
        <w:contextualSpacing/>
        <w:jc w:val="left"/>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（六）其他要求</w:t>
      </w:r>
    </w:p>
    <w:p w14:paraId="3A05F51E">
      <w:pPr>
        <w:widowControl/>
        <w:numPr>
          <w:ilvl w:val="0"/>
          <w:numId w:val="0"/>
        </w:numPr>
        <w:wordWrap/>
        <w:topLinePunct w:val="0"/>
        <w:bidi w:val="0"/>
        <w:spacing w:line="300" w:lineRule="auto"/>
        <w:ind w:firstLine="480" w:firstLineChars="200"/>
        <w:contextualSpacing/>
        <w:jc w:val="left"/>
        <w:rPr>
          <w:rFonts w:hint="default" w:ascii="Times New Roman" w:hAnsi="Times New Roman" w:eastAsia="宋体" w:cs="Times New Roman"/>
          <w:color w:val="auto"/>
          <w:spacing w:val="7"/>
          <w:kern w:val="0"/>
          <w:sz w:val="24"/>
          <w:szCs w:val="22"/>
          <w:highlight w:val="none"/>
          <w:lang w:val="en-US" w:eastAsia="zh-CN" w:bidi="ar-SA"/>
        </w:rPr>
      </w:pPr>
      <w:r>
        <w:rPr>
          <w:rFonts w:hint="default" w:ascii="Times New Roman" w:hAnsi="Times New Roman" w:eastAsia="宋体" w:cs="Times New Roman"/>
          <w:color w:val="auto"/>
          <w:kern w:val="0"/>
          <w:sz w:val="24"/>
          <w:szCs w:val="22"/>
          <w:highlight w:val="none"/>
          <w:lang w:val="en-US" w:eastAsia="zh-CN" w:bidi="ar-SA"/>
        </w:rPr>
        <w:t>1</w:t>
      </w:r>
      <w:r>
        <w:rPr>
          <w:rFonts w:hint="eastAsia" w:ascii="Times New Roman" w:hAnsi="Times New Roman" w:eastAsia="宋体" w:cs="Times New Roman"/>
          <w:color w:val="auto"/>
          <w:kern w:val="0"/>
          <w:sz w:val="24"/>
          <w:szCs w:val="22"/>
          <w:highlight w:val="none"/>
          <w:lang w:val="en-US" w:eastAsia="zh-CN" w:bidi="ar-SA"/>
        </w:rPr>
        <w:t>．</w:t>
      </w:r>
      <w:r>
        <w:rPr>
          <w:rFonts w:hint="default" w:ascii="Times New Roman" w:hAnsi="Times New Roman" w:eastAsia="宋体" w:cs="Times New Roman"/>
          <w:color w:val="auto"/>
          <w:kern w:val="0"/>
          <w:sz w:val="24"/>
          <w:szCs w:val="22"/>
          <w:highlight w:val="none"/>
          <w:lang w:val="en-US" w:eastAsia="zh-CN" w:bidi="ar-SA"/>
        </w:rPr>
        <w:t>投标人根据招标文件要求提供具体详实的检验信息系统技术方案，方案内容包括但不仅限于检验信息系统全流程管理、系统功能模块详细描述、质控管理、统计分析、微生物全流程管理、标本库管理、检验知识库管理、耗材管理、设备管理、人员管理、文档管理等。</w:t>
      </w:r>
    </w:p>
    <w:p w14:paraId="4EDEC4FE">
      <w:pPr>
        <w:widowControl/>
        <w:numPr>
          <w:ilvl w:val="0"/>
          <w:numId w:val="0"/>
        </w:numPr>
        <w:wordWrap/>
        <w:topLinePunct w:val="0"/>
        <w:bidi w:val="0"/>
        <w:spacing w:line="300" w:lineRule="auto"/>
        <w:ind w:firstLine="508" w:firstLineChars="200"/>
        <w:contextualSpacing/>
        <w:jc w:val="left"/>
        <w:rPr>
          <w:rFonts w:hint="default" w:ascii="Times New Roman" w:hAnsi="Times New Roman" w:eastAsia="宋体" w:cs="Times New Roman"/>
          <w:color w:val="auto"/>
          <w:spacing w:val="7"/>
          <w:kern w:val="0"/>
          <w:sz w:val="24"/>
          <w:szCs w:val="24"/>
          <w:highlight w:val="none"/>
          <w:lang w:val="en-US" w:eastAsia="zh-CN" w:bidi="ar-SA"/>
        </w:rPr>
      </w:pPr>
      <w:r>
        <w:rPr>
          <w:rFonts w:hint="default" w:ascii="Times New Roman" w:hAnsi="Times New Roman" w:eastAsia="宋体" w:cs="Times New Roman"/>
          <w:color w:val="auto"/>
          <w:spacing w:val="7"/>
          <w:kern w:val="0"/>
          <w:sz w:val="24"/>
          <w:szCs w:val="24"/>
          <w:highlight w:val="none"/>
          <w:lang w:val="en-US" w:eastAsia="zh-CN" w:bidi="ar-SA"/>
        </w:rPr>
        <w:t>2</w:t>
      </w:r>
      <w:r>
        <w:rPr>
          <w:rFonts w:hint="eastAsia" w:ascii="Times New Roman" w:hAnsi="Times New Roman" w:eastAsia="宋体" w:cs="Times New Roman"/>
          <w:color w:val="auto"/>
          <w:spacing w:val="7"/>
          <w:kern w:val="0"/>
          <w:sz w:val="24"/>
          <w:szCs w:val="24"/>
          <w:highlight w:val="none"/>
          <w:lang w:val="en-US" w:eastAsia="zh-CN" w:bidi="ar-SA"/>
        </w:rPr>
        <w:t>．</w:t>
      </w:r>
      <w:r>
        <w:rPr>
          <w:rFonts w:hint="default" w:ascii="Times New Roman" w:hAnsi="Times New Roman" w:eastAsia="宋体" w:cs="Times New Roman"/>
          <w:color w:val="auto"/>
          <w:spacing w:val="7"/>
          <w:kern w:val="0"/>
          <w:sz w:val="24"/>
          <w:szCs w:val="24"/>
          <w:highlight w:val="none"/>
          <w:lang w:val="en-US" w:eastAsia="zh-CN" w:bidi="ar-SA"/>
        </w:rPr>
        <w:t>投标人应根据招标文件要求提供具体详实的输血质量管理系统技术方案，方案内容包括但不仅限于输血全闭环管理、智能用血评估和评价、输血质量管理功能详细描述、单病种质量管理、输血不良反应处置、用血评价统计分析、闭环消息通知管理等。</w:t>
      </w:r>
    </w:p>
    <w:p w14:paraId="15FC6524">
      <w:pPr>
        <w:widowControl/>
        <w:numPr>
          <w:ilvl w:val="0"/>
          <w:numId w:val="0"/>
        </w:numPr>
        <w:wordWrap/>
        <w:topLinePunct w:val="0"/>
        <w:bidi w:val="0"/>
        <w:spacing w:line="300" w:lineRule="auto"/>
        <w:ind w:firstLine="508" w:firstLineChars="200"/>
        <w:contextualSpacing/>
        <w:jc w:val="left"/>
        <w:rPr>
          <w:rFonts w:hint="eastAsia" w:ascii="Times New Roman" w:hAnsi="Times New Roman" w:eastAsia="宋体" w:cs="Times New Roman"/>
          <w:color w:val="auto"/>
          <w:spacing w:val="7"/>
          <w:kern w:val="0"/>
          <w:sz w:val="24"/>
          <w:szCs w:val="24"/>
          <w:highlight w:val="none"/>
          <w:lang w:val="en-US" w:eastAsia="zh-CN" w:bidi="ar-SA"/>
        </w:rPr>
      </w:pPr>
      <w:r>
        <w:rPr>
          <w:rFonts w:hint="eastAsia" w:ascii="Times New Roman" w:hAnsi="Times New Roman" w:eastAsia="宋体" w:cs="Times New Roman"/>
          <w:color w:val="auto"/>
          <w:spacing w:val="7"/>
          <w:kern w:val="0"/>
          <w:sz w:val="24"/>
          <w:szCs w:val="24"/>
          <w:highlight w:val="none"/>
          <w:lang w:val="en-US" w:eastAsia="zh-CN" w:bidi="ar-SA"/>
        </w:rPr>
        <w:t>3．投标人应根据招标文件要求提供具体详实的区域检验平台技术方案，方案内容包括但不限于平台数据管理、平台标本条码管理、平台检验申请单管理、平台危急值管理、平台质控数据管理、平台试剂耗材管理、平台财务结算管理、平台数据共享管理、平台数据交换管理、平台标本TAT统计分析、平台数据统计及分析、平台安全权限管理、操作日志管理、智能数据分析系统等</w:t>
      </w:r>
      <w:r>
        <w:rPr>
          <w:rFonts w:hint="eastAsia" w:ascii="Times New Roman" w:hAnsi="Times New Roman" w:cs="Times New Roman"/>
          <w:color w:val="auto"/>
          <w:spacing w:val="7"/>
          <w:kern w:val="0"/>
          <w:sz w:val="24"/>
          <w:szCs w:val="24"/>
          <w:highlight w:val="none"/>
          <w:lang w:val="en-US" w:eastAsia="zh-CN" w:bidi="ar-SA"/>
        </w:rPr>
        <w:t>。</w:t>
      </w:r>
    </w:p>
    <w:p w14:paraId="5CF78C5C">
      <w:pPr>
        <w:widowControl/>
        <w:numPr>
          <w:ilvl w:val="0"/>
          <w:numId w:val="0"/>
        </w:numPr>
        <w:wordWrap/>
        <w:topLinePunct w:val="0"/>
        <w:bidi w:val="0"/>
        <w:spacing w:line="300" w:lineRule="auto"/>
        <w:ind w:firstLine="508" w:firstLineChars="200"/>
        <w:contextualSpacing/>
        <w:jc w:val="left"/>
        <w:rPr>
          <w:rFonts w:hint="default" w:ascii="Times New Roman" w:hAnsi="Times New Roman" w:eastAsia="宋体" w:cs="Times New Roman"/>
          <w:color w:val="auto"/>
          <w:spacing w:val="7"/>
          <w:kern w:val="0"/>
          <w:sz w:val="24"/>
          <w:szCs w:val="24"/>
          <w:highlight w:val="none"/>
          <w:lang w:val="en-US" w:eastAsia="zh-CN" w:bidi="ar-SA"/>
        </w:rPr>
      </w:pPr>
      <w:r>
        <w:rPr>
          <w:rFonts w:hint="eastAsia" w:ascii="Times New Roman" w:hAnsi="Times New Roman" w:eastAsia="宋体" w:cs="Times New Roman"/>
          <w:color w:val="auto"/>
          <w:spacing w:val="7"/>
          <w:kern w:val="0"/>
          <w:sz w:val="24"/>
          <w:szCs w:val="24"/>
          <w:highlight w:val="none"/>
          <w:lang w:val="en-US" w:eastAsia="zh-CN" w:bidi="ar-SA"/>
        </w:rPr>
        <w:t>4．</w:t>
      </w:r>
      <w:r>
        <w:rPr>
          <w:rFonts w:hint="default" w:ascii="Times New Roman" w:hAnsi="Times New Roman" w:eastAsia="宋体" w:cs="Times New Roman"/>
          <w:color w:val="auto"/>
          <w:spacing w:val="7"/>
          <w:kern w:val="0"/>
          <w:sz w:val="24"/>
          <w:szCs w:val="24"/>
          <w:highlight w:val="none"/>
          <w:lang w:val="en-US" w:eastAsia="zh-CN" w:bidi="ar-SA"/>
        </w:rPr>
        <w:t>投标人根据招标文件要求提供具体详实的实施培训及售后服务方案，方案内容包括但不仅限于项目建设周期、项目建设管理、项目实施计划进度安排及项目测试等。培训包含：培训要求、培训目的、培训对象、培训内容、培训考核等。售后服务包括应急方案、售后服务内容、售后服务体系等。</w:t>
      </w:r>
    </w:p>
    <w:p w14:paraId="18D78EF2">
      <w:pPr>
        <w:widowControl/>
        <w:numPr>
          <w:ilvl w:val="0"/>
          <w:numId w:val="0"/>
        </w:numPr>
        <w:wordWrap/>
        <w:topLinePunct w:val="0"/>
        <w:bidi w:val="0"/>
        <w:spacing w:line="300" w:lineRule="auto"/>
        <w:ind w:firstLine="508" w:firstLineChars="200"/>
        <w:contextualSpacing/>
        <w:jc w:val="left"/>
        <w:rPr>
          <w:rFonts w:hint="default" w:ascii="Times New Roman" w:hAnsi="Times New Roman" w:eastAsia="宋体" w:cs="Times New Roman"/>
          <w:color w:val="auto"/>
          <w:spacing w:val="7"/>
          <w:kern w:val="0"/>
          <w:sz w:val="24"/>
          <w:szCs w:val="24"/>
          <w:highlight w:val="none"/>
          <w:lang w:val="en-US" w:eastAsia="zh-CN" w:bidi="ar-SA"/>
        </w:rPr>
      </w:pPr>
      <w:r>
        <w:rPr>
          <w:rFonts w:hint="eastAsia" w:ascii="Times New Roman" w:hAnsi="Times New Roman" w:eastAsia="宋体" w:cs="Times New Roman"/>
          <w:color w:val="auto"/>
          <w:spacing w:val="7"/>
          <w:kern w:val="0"/>
          <w:sz w:val="24"/>
          <w:szCs w:val="24"/>
          <w:highlight w:val="none"/>
          <w:lang w:val="en-US" w:eastAsia="zh-CN" w:bidi="ar-SA"/>
        </w:rPr>
        <w:t>5．</w:t>
      </w:r>
      <w:r>
        <w:rPr>
          <w:rFonts w:hint="default" w:ascii="Times New Roman" w:hAnsi="Times New Roman" w:eastAsia="宋体" w:cs="Times New Roman"/>
          <w:color w:val="auto"/>
          <w:spacing w:val="7"/>
          <w:kern w:val="0"/>
          <w:sz w:val="24"/>
          <w:szCs w:val="24"/>
          <w:highlight w:val="none"/>
          <w:lang w:val="en-US" w:eastAsia="zh-CN" w:bidi="ar-SA"/>
        </w:rPr>
        <w:t>投标人所投产品具有跟本项目相关的含"区域检验互认管理”、“决策云管理”、“科室数据展示”等关键字软件著作权证书</w:t>
      </w:r>
      <w:r>
        <w:rPr>
          <w:rFonts w:hint="eastAsia" w:ascii="Times New Roman" w:hAnsi="Times New Roman" w:eastAsia="宋体" w:cs="Times New Roman"/>
          <w:color w:val="auto"/>
          <w:spacing w:val="7"/>
          <w:kern w:val="0"/>
          <w:sz w:val="24"/>
          <w:szCs w:val="24"/>
          <w:highlight w:val="none"/>
          <w:lang w:val="en-US" w:eastAsia="zh-CN" w:bidi="ar-SA"/>
        </w:rPr>
        <w:t>。</w:t>
      </w:r>
    </w:p>
    <w:p w14:paraId="69C993CE">
      <w:pPr>
        <w:widowControl/>
        <w:numPr>
          <w:ilvl w:val="0"/>
          <w:numId w:val="0"/>
        </w:numPr>
        <w:wordWrap/>
        <w:topLinePunct w:val="0"/>
        <w:bidi w:val="0"/>
        <w:spacing w:line="300" w:lineRule="auto"/>
        <w:ind w:firstLine="508" w:firstLineChars="200"/>
        <w:contextualSpacing/>
        <w:jc w:val="left"/>
        <w:rPr>
          <w:rFonts w:hint="default" w:ascii="Times New Roman" w:hAnsi="Times New Roman" w:eastAsia="宋体" w:cs="Times New Roman"/>
          <w:color w:val="auto"/>
          <w:spacing w:val="7"/>
          <w:kern w:val="0"/>
          <w:sz w:val="24"/>
          <w:szCs w:val="24"/>
          <w:highlight w:val="none"/>
          <w:lang w:val="en-US" w:eastAsia="zh-CN" w:bidi="ar-SA"/>
        </w:rPr>
      </w:pPr>
      <w:r>
        <w:rPr>
          <w:rFonts w:hint="eastAsia" w:ascii="Times New Roman" w:hAnsi="Times New Roman" w:eastAsia="宋体" w:cs="Times New Roman"/>
          <w:color w:val="auto"/>
          <w:spacing w:val="7"/>
          <w:kern w:val="0"/>
          <w:sz w:val="24"/>
          <w:szCs w:val="24"/>
          <w:highlight w:val="none"/>
          <w:lang w:val="en-US" w:eastAsia="zh-CN" w:bidi="ar-SA"/>
        </w:rPr>
        <w:t>6．</w:t>
      </w:r>
      <w:r>
        <w:rPr>
          <w:rFonts w:hint="default" w:ascii="Times New Roman" w:hAnsi="Times New Roman" w:eastAsia="宋体" w:cs="Times New Roman"/>
          <w:color w:val="auto"/>
          <w:spacing w:val="7"/>
          <w:kern w:val="0"/>
          <w:sz w:val="24"/>
          <w:szCs w:val="24"/>
          <w:highlight w:val="none"/>
          <w:lang w:val="en-US" w:eastAsia="zh-CN" w:bidi="ar-SA"/>
        </w:rPr>
        <w:t>投标人针对本项目拟配备的项目组成员中，具有</w:t>
      </w:r>
      <w:r>
        <w:rPr>
          <w:rFonts w:hint="eastAsia" w:ascii="Times New Roman" w:hAnsi="Times New Roman" w:eastAsia="宋体" w:cs="Times New Roman"/>
          <w:color w:val="auto"/>
          <w:spacing w:val="7"/>
          <w:kern w:val="0"/>
          <w:sz w:val="24"/>
          <w:szCs w:val="24"/>
          <w:highlight w:val="none"/>
          <w:lang w:val="en-US" w:eastAsia="zh-CN" w:bidi="ar-SA"/>
        </w:rPr>
        <w:t>高级信息系统项目管理师证书、具有系统集成项目管理证书（或数据库系统工程师证书）、系统架构设计证书师（或软件设计师）</w:t>
      </w:r>
      <w:r>
        <w:rPr>
          <w:rFonts w:hint="default" w:ascii="Times New Roman" w:hAnsi="Times New Roman" w:eastAsia="宋体" w:cs="Times New Roman"/>
          <w:color w:val="auto"/>
          <w:spacing w:val="7"/>
          <w:kern w:val="0"/>
          <w:sz w:val="24"/>
          <w:szCs w:val="24"/>
          <w:highlight w:val="none"/>
          <w:lang w:val="en-US" w:eastAsia="zh-CN" w:bidi="ar-SA"/>
        </w:rPr>
        <w:t>。</w:t>
      </w:r>
    </w:p>
    <w:p w14:paraId="405E32FE">
      <w:pPr>
        <w:widowControl/>
        <w:numPr>
          <w:ilvl w:val="0"/>
          <w:numId w:val="0"/>
        </w:numPr>
        <w:wordWrap/>
        <w:topLinePunct w:val="0"/>
        <w:bidi w:val="0"/>
        <w:spacing w:line="300" w:lineRule="auto"/>
        <w:ind w:firstLine="508" w:firstLineChars="200"/>
        <w:contextualSpacing/>
        <w:jc w:val="left"/>
        <w:rPr>
          <w:rFonts w:hint="eastAsia" w:ascii="Times New Roman" w:hAnsi="Times New Roman" w:eastAsia="宋体" w:cs="Times New Roman"/>
          <w:color w:val="auto"/>
          <w:spacing w:val="7"/>
          <w:kern w:val="0"/>
          <w:sz w:val="24"/>
          <w:szCs w:val="24"/>
          <w:highlight w:val="none"/>
          <w:lang w:val="en-US" w:eastAsia="zh-CN" w:bidi="ar-SA"/>
        </w:rPr>
      </w:pPr>
      <w:r>
        <w:rPr>
          <w:rFonts w:hint="eastAsia" w:ascii="Times New Roman" w:hAnsi="Times New Roman" w:cs="Times New Roman"/>
          <w:color w:val="auto"/>
          <w:spacing w:val="7"/>
          <w:kern w:val="0"/>
          <w:sz w:val="24"/>
          <w:szCs w:val="24"/>
          <w:highlight w:val="none"/>
          <w:lang w:val="en-US" w:eastAsia="zh-CN" w:bidi="ar-SA"/>
        </w:rPr>
        <w:t>7</w:t>
      </w:r>
      <w:r>
        <w:rPr>
          <w:rFonts w:hint="eastAsia" w:ascii="Times New Roman" w:hAnsi="Times New Roman" w:eastAsia="宋体" w:cs="Times New Roman"/>
          <w:color w:val="auto"/>
          <w:spacing w:val="7"/>
          <w:kern w:val="0"/>
          <w:sz w:val="24"/>
          <w:szCs w:val="24"/>
          <w:highlight w:val="none"/>
          <w:lang w:val="en-US" w:eastAsia="zh-CN" w:bidi="ar-SA"/>
        </w:rPr>
        <w:t>．投标人在投标文件中对于样本分拣机性能参数做出具体描述。</w:t>
      </w:r>
    </w:p>
    <w:p w14:paraId="2DA89F61">
      <w:pPr>
        <w:widowControl/>
        <w:numPr>
          <w:ilvl w:val="0"/>
          <w:numId w:val="0"/>
        </w:numPr>
        <w:wordWrap/>
        <w:topLinePunct w:val="0"/>
        <w:bidi w:val="0"/>
        <w:spacing w:line="300" w:lineRule="auto"/>
        <w:ind w:firstLine="508" w:firstLineChars="200"/>
        <w:contextualSpacing/>
        <w:jc w:val="left"/>
        <w:rPr>
          <w:rFonts w:hint="eastAsia" w:ascii="Times New Roman" w:hAnsi="Times New Roman" w:eastAsia="宋体" w:cs="Times New Roman"/>
          <w:strike w:val="0"/>
          <w:dstrike w:val="0"/>
          <w:color w:val="auto"/>
          <w:spacing w:val="7"/>
          <w:kern w:val="0"/>
          <w:sz w:val="24"/>
          <w:szCs w:val="24"/>
          <w:highlight w:val="none"/>
          <w:lang w:val="en-US" w:eastAsia="zh-CN" w:bidi="ar-SA"/>
        </w:rPr>
      </w:pPr>
      <w:r>
        <w:rPr>
          <w:rFonts w:hint="eastAsia" w:ascii="Times New Roman" w:hAnsi="Times New Roman" w:cs="Times New Roman"/>
          <w:strike w:val="0"/>
          <w:dstrike w:val="0"/>
          <w:color w:val="auto"/>
          <w:spacing w:val="7"/>
          <w:kern w:val="0"/>
          <w:sz w:val="24"/>
          <w:szCs w:val="24"/>
          <w:highlight w:val="none"/>
          <w:lang w:val="en-US" w:eastAsia="zh-CN" w:bidi="ar-SA"/>
        </w:rPr>
        <w:t>8</w:t>
      </w:r>
      <w:r>
        <w:rPr>
          <w:rFonts w:hint="eastAsia" w:ascii="Times New Roman" w:hAnsi="Times New Roman" w:eastAsia="宋体" w:cs="Times New Roman"/>
          <w:strike w:val="0"/>
          <w:dstrike w:val="0"/>
          <w:color w:val="auto"/>
          <w:spacing w:val="7"/>
          <w:kern w:val="0"/>
          <w:sz w:val="24"/>
          <w:szCs w:val="24"/>
          <w:highlight w:val="none"/>
          <w:lang w:val="en-US" w:eastAsia="zh-CN" w:bidi="ar-SA"/>
        </w:rPr>
        <w:t>．投标人在投标文件中提供三年质保期满后系统对接接口报价单。</w:t>
      </w:r>
    </w:p>
    <w:p w14:paraId="473D300F">
      <w:pPr>
        <w:widowControl/>
        <w:numPr>
          <w:ilvl w:val="0"/>
          <w:numId w:val="0"/>
        </w:numPr>
        <w:wordWrap/>
        <w:topLinePunct w:val="0"/>
        <w:bidi w:val="0"/>
        <w:spacing w:line="300" w:lineRule="auto"/>
        <w:ind w:firstLine="508" w:firstLineChars="200"/>
        <w:contextualSpacing/>
        <w:jc w:val="left"/>
        <w:rPr>
          <w:rFonts w:hint="eastAsia" w:ascii="Times New Roman" w:hAnsi="Times New Roman" w:cs="Times New Roman"/>
          <w:color w:val="auto"/>
          <w:kern w:val="0"/>
          <w:sz w:val="24"/>
          <w:szCs w:val="24"/>
          <w:highlight w:val="none"/>
          <w:lang w:eastAsia="zh-CN"/>
        </w:rPr>
      </w:pPr>
      <w:r>
        <w:rPr>
          <w:rFonts w:hint="eastAsia" w:ascii="Times New Roman" w:hAnsi="Times New Roman" w:cs="Times New Roman"/>
          <w:strike w:val="0"/>
          <w:dstrike w:val="0"/>
          <w:color w:val="auto"/>
          <w:spacing w:val="7"/>
          <w:kern w:val="0"/>
          <w:sz w:val="24"/>
          <w:szCs w:val="24"/>
          <w:highlight w:val="none"/>
          <w:lang w:val="en-US" w:eastAsia="zh-CN" w:bidi="ar-SA"/>
        </w:rPr>
        <w:t>9</w:t>
      </w:r>
      <w:r>
        <w:rPr>
          <w:rFonts w:hint="eastAsia" w:ascii="Times New Roman" w:hAnsi="Times New Roman" w:eastAsia="宋体" w:cs="Times New Roman"/>
          <w:strike w:val="0"/>
          <w:dstrike w:val="0"/>
          <w:color w:val="auto"/>
          <w:spacing w:val="7"/>
          <w:kern w:val="0"/>
          <w:sz w:val="24"/>
          <w:szCs w:val="24"/>
          <w:highlight w:val="none"/>
          <w:lang w:val="en-US" w:eastAsia="zh-CN" w:bidi="ar-SA"/>
        </w:rPr>
        <w:t>．</w:t>
      </w:r>
      <w:r>
        <w:rPr>
          <w:rFonts w:hint="default" w:ascii="Times New Roman" w:hAnsi="Times New Roman" w:eastAsia="宋体" w:cs="Times New Roman"/>
          <w:color w:val="auto"/>
          <w:kern w:val="0"/>
          <w:sz w:val="24"/>
          <w:szCs w:val="24"/>
          <w:highlight w:val="none"/>
          <w:lang w:eastAsia="zh-CN"/>
        </w:rPr>
        <w:t>投标人</w:t>
      </w:r>
      <w:r>
        <w:rPr>
          <w:rFonts w:hint="eastAsia" w:ascii="Times New Roman" w:hAnsi="Times New Roman" w:eastAsia="宋体" w:cs="Times New Roman"/>
          <w:color w:val="auto"/>
          <w:kern w:val="0"/>
          <w:sz w:val="24"/>
          <w:szCs w:val="24"/>
          <w:highlight w:val="none"/>
          <w:lang w:val="en-US" w:eastAsia="zh-CN"/>
        </w:rPr>
        <w:t>所投产品</w:t>
      </w:r>
      <w:r>
        <w:rPr>
          <w:rFonts w:hint="default" w:ascii="Times New Roman" w:hAnsi="Times New Roman" w:eastAsia="宋体" w:cs="Times New Roman"/>
          <w:color w:val="auto"/>
          <w:kern w:val="0"/>
          <w:sz w:val="24"/>
          <w:szCs w:val="24"/>
          <w:highlight w:val="none"/>
          <w:lang w:val="en-US" w:eastAsia="zh-CN"/>
        </w:rPr>
        <w:t>具有</w:t>
      </w:r>
      <w:r>
        <w:rPr>
          <w:rFonts w:hint="default" w:ascii="Times New Roman" w:hAnsi="Times New Roman" w:eastAsia="宋体" w:cs="Times New Roman"/>
          <w:color w:val="auto"/>
          <w:kern w:val="0"/>
          <w:sz w:val="24"/>
          <w:szCs w:val="24"/>
          <w:highlight w:val="none"/>
        </w:rPr>
        <w:t>20</w:t>
      </w:r>
      <w:r>
        <w:rPr>
          <w:rFonts w:hint="default" w:ascii="Times New Roman" w:hAnsi="Times New Roman" w:eastAsia="宋体" w:cs="Times New Roman"/>
          <w:color w:val="auto"/>
          <w:kern w:val="0"/>
          <w:sz w:val="24"/>
          <w:szCs w:val="24"/>
          <w:highlight w:val="none"/>
          <w:lang w:val="en-US" w:eastAsia="zh-CN"/>
        </w:rPr>
        <w:t>2</w:t>
      </w: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年</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月1日以来</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以合同签订时间为准</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承接</w:t>
      </w:r>
      <w:r>
        <w:rPr>
          <w:rFonts w:hint="default" w:ascii="Times New Roman" w:hAnsi="Times New Roman" w:eastAsia="宋体" w:cs="Times New Roman"/>
          <w:color w:val="auto"/>
          <w:kern w:val="0"/>
          <w:sz w:val="24"/>
          <w:szCs w:val="24"/>
          <w:highlight w:val="none"/>
          <w:lang w:val="en-US" w:eastAsia="zh-CN"/>
        </w:rPr>
        <w:t>的类似项目</w:t>
      </w:r>
      <w:r>
        <w:rPr>
          <w:rFonts w:hint="default" w:ascii="Times New Roman" w:hAnsi="Times New Roman" w:eastAsia="宋体" w:cs="Times New Roman"/>
          <w:color w:val="auto"/>
          <w:kern w:val="0"/>
          <w:sz w:val="24"/>
          <w:szCs w:val="24"/>
          <w:highlight w:val="none"/>
        </w:rPr>
        <w:t>业绩</w:t>
      </w:r>
      <w:r>
        <w:rPr>
          <w:rFonts w:hint="eastAsia" w:ascii="Times New Roman" w:hAnsi="Times New Roman" w:cs="Times New Roman"/>
          <w:color w:val="auto"/>
          <w:kern w:val="0"/>
          <w:sz w:val="24"/>
          <w:szCs w:val="24"/>
          <w:highlight w:val="none"/>
          <w:lang w:eastAsia="zh-CN"/>
        </w:rPr>
        <w:t>。</w:t>
      </w:r>
    </w:p>
    <w:p w14:paraId="239D174F">
      <w:pPr>
        <w:widowControl/>
        <w:numPr>
          <w:ilvl w:val="0"/>
          <w:numId w:val="0"/>
        </w:numPr>
        <w:wordWrap/>
        <w:topLinePunct w:val="0"/>
        <w:bidi w:val="0"/>
        <w:spacing w:line="300" w:lineRule="auto"/>
        <w:ind w:firstLine="508" w:firstLineChars="200"/>
        <w:contextualSpacing/>
        <w:jc w:val="left"/>
        <w:rPr>
          <w:rFonts w:hint="default" w:ascii="Times New Roman" w:hAnsi="Times New Roman" w:eastAsia="宋体" w:cs="Times New Roman"/>
          <w:strike w:val="0"/>
          <w:dstrike w:val="0"/>
          <w:color w:val="auto"/>
          <w:spacing w:val="7"/>
          <w:kern w:val="0"/>
          <w:sz w:val="24"/>
          <w:szCs w:val="24"/>
          <w:highlight w:val="none"/>
          <w:lang w:val="en-US" w:eastAsia="zh-CN" w:bidi="ar-SA"/>
        </w:rPr>
      </w:pPr>
      <w:r>
        <w:rPr>
          <w:rFonts w:hint="eastAsia" w:ascii="Times New Roman" w:hAnsi="Times New Roman" w:cs="Times New Roman"/>
          <w:strike w:val="0"/>
          <w:dstrike w:val="0"/>
          <w:color w:val="auto"/>
          <w:spacing w:val="7"/>
          <w:kern w:val="0"/>
          <w:sz w:val="24"/>
          <w:szCs w:val="24"/>
          <w:highlight w:val="none"/>
          <w:lang w:val="en-US" w:eastAsia="zh-CN" w:bidi="ar-SA"/>
        </w:rPr>
        <w:t>10</w:t>
      </w:r>
      <w:r>
        <w:rPr>
          <w:rFonts w:hint="eastAsia" w:ascii="Times New Roman" w:hAnsi="Times New Roman" w:eastAsia="宋体" w:cs="Times New Roman"/>
          <w:strike w:val="0"/>
          <w:dstrike w:val="0"/>
          <w:color w:val="auto"/>
          <w:spacing w:val="7"/>
          <w:kern w:val="0"/>
          <w:sz w:val="24"/>
          <w:szCs w:val="24"/>
          <w:highlight w:val="none"/>
          <w:lang w:val="en-US" w:eastAsia="zh-CN" w:bidi="ar-SA"/>
        </w:rPr>
        <w:t>．</w:t>
      </w:r>
      <w:r>
        <w:rPr>
          <w:rFonts w:hint="default" w:ascii="Times New Roman" w:hAnsi="Times New Roman" w:eastAsia="宋体" w:cs="Times New Roman"/>
          <w:b w:val="0"/>
          <w:bCs w:val="0"/>
          <w:color w:val="auto"/>
          <w:spacing w:val="7"/>
          <w:sz w:val="24"/>
          <w:szCs w:val="24"/>
          <w:highlight w:val="none"/>
          <w:lang w:val="en-US" w:eastAsia="zh-CN"/>
        </w:rPr>
        <w:t>投标人所投产品通过电子病历六级及以上评审案例</w:t>
      </w:r>
      <w:r>
        <w:rPr>
          <w:rFonts w:hint="eastAsia" w:ascii="Times New Roman" w:hAnsi="Times New Roman" w:cs="Times New Roman"/>
          <w:b w:val="0"/>
          <w:bCs w:val="0"/>
          <w:color w:val="auto"/>
          <w:spacing w:val="7"/>
          <w:sz w:val="24"/>
          <w:szCs w:val="24"/>
          <w:highlight w:val="none"/>
          <w:lang w:val="en-US" w:eastAsia="zh-CN"/>
        </w:rPr>
        <w:t>。</w:t>
      </w:r>
    </w:p>
    <w:p w14:paraId="3759119A">
      <w:pPr>
        <w:pStyle w:val="3"/>
        <w:rPr>
          <w:rFonts w:hint="default"/>
          <w:color w:val="auto"/>
          <w:highlight w:val="none"/>
          <w:lang w:val="en-US" w:eastAsia="zh-CN"/>
        </w:rPr>
      </w:pPr>
    </w:p>
    <w:p w14:paraId="5546208A">
      <w:pPr>
        <w:widowControl/>
        <w:numPr>
          <w:ilvl w:val="0"/>
          <w:numId w:val="0"/>
        </w:numPr>
        <w:wordWrap/>
        <w:topLinePunct w:val="0"/>
        <w:bidi w:val="0"/>
        <w:spacing w:line="300" w:lineRule="auto"/>
        <w:contextualSpacing/>
        <w:jc w:val="left"/>
        <w:rPr>
          <w:rFonts w:hint="default" w:ascii="Times New Roman" w:hAnsi="Times New Roman" w:eastAsia="宋体" w:cs="Times New Roman"/>
          <w:b w:val="0"/>
          <w:bCs/>
          <w:color w:val="auto"/>
          <w:spacing w:val="7"/>
          <w:kern w:val="0"/>
          <w:sz w:val="24"/>
          <w:szCs w:val="24"/>
          <w:highlight w:val="none"/>
          <w:lang w:val="en-US" w:eastAsia="zh-CN" w:bidi="ar-SA"/>
        </w:rPr>
      </w:pPr>
      <w:r>
        <w:rPr>
          <w:rFonts w:hint="default" w:ascii="Times New Roman" w:hAnsi="Times New Roman" w:eastAsia="宋体" w:cs="Times New Roman"/>
          <w:b/>
          <w:bCs/>
          <w:color w:val="auto"/>
          <w:spacing w:val="7"/>
          <w:kern w:val="0"/>
          <w:sz w:val="24"/>
          <w:szCs w:val="24"/>
          <w:highlight w:val="none"/>
          <w:lang w:val="en-US" w:eastAsia="zh-CN" w:bidi="ar-SA"/>
        </w:rPr>
        <w:br w:type="page"/>
      </w:r>
      <w:r>
        <w:rPr>
          <w:rFonts w:hint="eastAsia" w:ascii="Times New Roman" w:hAnsi="Times New Roman" w:cs="Times New Roman"/>
          <w:b/>
          <w:bCs/>
          <w:color w:val="auto"/>
          <w:spacing w:val="7"/>
          <w:kern w:val="0"/>
          <w:sz w:val="24"/>
          <w:szCs w:val="24"/>
          <w:highlight w:val="none"/>
          <w:lang w:val="en-US" w:eastAsia="zh-CN" w:bidi="ar-SA"/>
        </w:rPr>
        <w:t xml:space="preserve">  </w:t>
      </w:r>
      <w:r>
        <w:rPr>
          <w:rFonts w:hint="default" w:ascii="Times New Roman" w:hAnsi="Times New Roman" w:eastAsia="宋体" w:cs="Times New Roman"/>
          <w:b/>
          <w:color w:val="auto"/>
          <w:kern w:val="0"/>
          <w:sz w:val="28"/>
          <w:szCs w:val="28"/>
          <w:highlight w:val="none"/>
          <w:lang w:val="en-US" w:eastAsia="en-US" w:bidi="ar-SA"/>
        </w:rPr>
        <w:t xml:space="preserve">三、商务条款 </w:t>
      </w:r>
    </w:p>
    <w:p w14:paraId="6925CED4">
      <w:pPr>
        <w:pStyle w:val="63"/>
        <w:kinsoku/>
        <w:wordWrap/>
        <w:overflowPunct/>
        <w:topLinePunct w:val="0"/>
        <w:autoSpaceDE/>
        <w:autoSpaceDN/>
        <w:bidi w:val="0"/>
        <w:adjustRightInd/>
        <w:spacing w:line="300" w:lineRule="auto"/>
        <w:ind w:firstLine="508" w:firstLineChars="200"/>
        <w:textAlignment w:val="auto"/>
        <w:outlineLvl w:val="9"/>
        <w:rPr>
          <w:rFonts w:hint="default" w:ascii="Times New Roman" w:hAnsi="Times New Roman" w:eastAsia="宋体" w:cs="Times New Roman"/>
          <w:b/>
          <w:bCs/>
          <w:color w:val="auto"/>
          <w:sz w:val="24"/>
          <w:highlight w:val="none"/>
          <w:lang w:bidi="ar-SA"/>
        </w:rPr>
      </w:pPr>
      <w:r>
        <w:rPr>
          <w:rFonts w:hint="default" w:ascii="Times New Roman" w:hAnsi="Times New Roman" w:eastAsia="宋体" w:cs="Times New Roman"/>
          <w:b w:val="0"/>
          <w:bCs/>
          <w:color w:val="auto"/>
          <w:spacing w:val="7"/>
          <w:sz w:val="24"/>
          <w:szCs w:val="24"/>
          <w:highlight w:val="none"/>
          <w:lang w:val="en-US" w:eastAsia="zh-CN"/>
        </w:rPr>
        <w:t>1</w:t>
      </w:r>
      <w:r>
        <w:rPr>
          <w:rFonts w:hint="eastAsia" w:ascii="Times New Roman" w:hAnsi="Times New Roman" w:cs="Times New Roman"/>
          <w:b/>
          <w:bCs/>
          <w:color w:val="auto"/>
          <w:spacing w:val="7"/>
          <w:sz w:val="24"/>
          <w:szCs w:val="24"/>
          <w:highlight w:val="none"/>
          <w:lang w:val="en-US" w:eastAsia="zh-CN"/>
        </w:rPr>
        <w:t>．</w:t>
      </w:r>
      <w:r>
        <w:rPr>
          <w:rFonts w:hint="default" w:ascii="Times New Roman" w:hAnsi="Times New Roman" w:eastAsia="宋体" w:cs="Times New Roman"/>
          <w:b/>
          <w:bCs/>
          <w:color w:val="auto"/>
          <w:sz w:val="24"/>
          <w:highlight w:val="none"/>
          <w:lang w:bidi="ar-SA"/>
        </w:rPr>
        <w:t>交货期、交货方式及交货地点</w:t>
      </w:r>
    </w:p>
    <w:p w14:paraId="5999679D">
      <w:pPr>
        <w:pStyle w:val="63"/>
        <w:kinsoku/>
        <w:wordWrap/>
        <w:overflowPunct/>
        <w:topLinePunct w:val="0"/>
        <w:autoSpaceDE/>
        <w:autoSpaceDN/>
        <w:bidi w:val="0"/>
        <w:adjustRightInd/>
        <w:spacing w:line="300" w:lineRule="auto"/>
        <w:ind w:firstLine="480" w:firstLineChars="2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val="0"/>
          <w:i/>
          <w:iCs/>
          <w:color w:val="auto"/>
          <w:sz w:val="24"/>
          <w:highlight w:val="none"/>
          <w:u w:val="single"/>
          <w:lang w:eastAsia="zh-CN" w:bidi="ar-SA"/>
        </w:rPr>
        <w:t>（</w:t>
      </w:r>
      <w:r>
        <w:rPr>
          <w:rFonts w:hint="default" w:ascii="Times New Roman" w:hAnsi="Times New Roman" w:eastAsia="宋体" w:cs="Times New Roman"/>
          <w:b w:val="0"/>
          <w:bCs w:val="0"/>
          <w:i/>
          <w:iCs/>
          <w:color w:val="auto"/>
          <w:sz w:val="24"/>
          <w:highlight w:val="none"/>
          <w:u w:val="single"/>
          <w:lang w:val="en-US" w:eastAsia="zh-CN" w:bidi="ar-SA"/>
        </w:rPr>
        <w:t>1</w:t>
      </w:r>
      <w:r>
        <w:rPr>
          <w:rFonts w:hint="default" w:ascii="Times New Roman" w:hAnsi="Times New Roman" w:eastAsia="宋体" w:cs="Times New Roman"/>
          <w:b w:val="0"/>
          <w:bCs w:val="0"/>
          <w:i/>
          <w:iCs/>
          <w:color w:val="auto"/>
          <w:sz w:val="24"/>
          <w:highlight w:val="none"/>
          <w:u w:val="single"/>
          <w:lang w:eastAsia="zh-CN" w:bidi="ar-SA"/>
        </w:rPr>
        <w:t>）</w:t>
      </w:r>
      <w:r>
        <w:rPr>
          <w:rFonts w:hint="default" w:ascii="Times New Roman" w:hAnsi="Times New Roman" w:eastAsia="宋体" w:cs="Times New Roman"/>
          <w:b w:val="0"/>
          <w:bCs/>
          <w:i/>
          <w:iCs/>
          <w:color w:val="auto"/>
          <w:spacing w:val="7"/>
          <w:sz w:val="24"/>
          <w:szCs w:val="24"/>
          <w:highlight w:val="none"/>
          <w:u w:val="single"/>
          <w:lang w:val="en-US" w:eastAsia="zh-CN"/>
        </w:rPr>
        <w:t>交货期：自合同签订之日起3个月内完成项目实施，软件系统提供不少于</w:t>
      </w:r>
      <w:r>
        <w:rPr>
          <w:rFonts w:hint="eastAsia" w:ascii="Times New Roman" w:hAnsi="Times New Roman" w:eastAsia="宋体" w:cs="Times New Roman"/>
          <w:b w:val="0"/>
          <w:bCs/>
          <w:i/>
          <w:iCs/>
          <w:color w:val="auto"/>
          <w:spacing w:val="7"/>
          <w:sz w:val="24"/>
          <w:szCs w:val="24"/>
          <w:highlight w:val="none"/>
          <w:u w:val="single"/>
          <w:lang w:val="en-US" w:eastAsia="zh-CN"/>
        </w:rPr>
        <w:t>3</w:t>
      </w:r>
      <w:r>
        <w:rPr>
          <w:rFonts w:hint="default" w:ascii="Times New Roman" w:hAnsi="Times New Roman" w:eastAsia="宋体" w:cs="Times New Roman"/>
          <w:b w:val="0"/>
          <w:bCs/>
          <w:i/>
          <w:iCs/>
          <w:color w:val="auto"/>
          <w:spacing w:val="7"/>
          <w:sz w:val="24"/>
          <w:szCs w:val="24"/>
          <w:highlight w:val="none"/>
          <w:u w:val="single"/>
          <w:lang w:val="en-US" w:eastAsia="zh-CN"/>
        </w:rPr>
        <w:t>年的免费维保服务（自验收合格之日起）。</w:t>
      </w:r>
      <w:r>
        <w:rPr>
          <w:rFonts w:hint="eastAsia" w:ascii="Times New Roman" w:hAnsi="Times New Roman" w:eastAsia="宋体" w:cs="Times New Roman"/>
          <w:b w:val="0"/>
          <w:bCs/>
          <w:i/>
          <w:iCs/>
          <w:color w:val="auto"/>
          <w:spacing w:val="7"/>
          <w:sz w:val="24"/>
          <w:szCs w:val="24"/>
          <w:highlight w:val="none"/>
          <w:u w:val="single"/>
          <w:lang w:val="en-US" w:eastAsia="zh-CN"/>
        </w:rPr>
        <w:t>3年免费质保期内系统接口免费开放，已接入设备软件的接口免费升级；10年内系统</w:t>
      </w:r>
      <w:r>
        <w:rPr>
          <w:rFonts w:hint="default" w:ascii="Times New Roman" w:hAnsi="Times New Roman" w:eastAsia="宋体" w:cs="Times New Roman"/>
          <w:b w:val="0"/>
          <w:bCs/>
          <w:i/>
          <w:iCs/>
          <w:color w:val="auto"/>
          <w:spacing w:val="7"/>
          <w:sz w:val="24"/>
          <w:szCs w:val="24"/>
          <w:highlight w:val="none"/>
          <w:u w:val="single"/>
          <w:lang w:val="en-US" w:eastAsia="zh-CN"/>
        </w:rPr>
        <w:t>免费升级到最新版本。免费质保结束后每年维保费不高于</w:t>
      </w:r>
      <w:r>
        <w:rPr>
          <w:rFonts w:hint="eastAsia" w:ascii="Times New Roman" w:hAnsi="Times New Roman" w:eastAsia="宋体" w:cs="Times New Roman"/>
          <w:b w:val="0"/>
          <w:bCs/>
          <w:i/>
          <w:iCs/>
          <w:color w:val="auto"/>
          <w:spacing w:val="7"/>
          <w:sz w:val="24"/>
          <w:szCs w:val="24"/>
          <w:highlight w:val="none"/>
          <w:u w:val="single"/>
          <w:lang w:val="en-US" w:eastAsia="zh-CN"/>
        </w:rPr>
        <w:t>软件</w:t>
      </w:r>
      <w:r>
        <w:rPr>
          <w:rFonts w:hint="default" w:ascii="Times New Roman" w:hAnsi="Times New Roman" w:eastAsia="宋体" w:cs="Times New Roman"/>
          <w:b w:val="0"/>
          <w:bCs/>
          <w:i/>
          <w:iCs/>
          <w:color w:val="auto"/>
          <w:spacing w:val="7"/>
          <w:sz w:val="24"/>
          <w:szCs w:val="24"/>
          <w:highlight w:val="none"/>
          <w:u w:val="single"/>
          <w:lang w:val="en-US" w:eastAsia="zh-CN"/>
        </w:rPr>
        <w:t>总价的5%。</w:t>
      </w:r>
    </w:p>
    <w:p w14:paraId="27CC3B38">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（2）交货方式：采购人指定。</w:t>
      </w:r>
    </w:p>
    <w:p w14:paraId="055E29F5">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（3）交货地点：</w:t>
      </w:r>
      <w:r>
        <w:rPr>
          <w:rFonts w:hint="eastAsia" w:ascii="Times New Roman" w:hAnsi="Times New Roman" w:eastAsia="宋体" w:cs="Times New Roman"/>
          <w:b w:val="0"/>
          <w:bCs/>
          <w:i/>
          <w:iCs/>
          <w:color w:val="auto"/>
          <w:spacing w:val="7"/>
          <w:sz w:val="24"/>
          <w:szCs w:val="24"/>
          <w:highlight w:val="none"/>
          <w:u w:val="single"/>
          <w:lang w:val="en-US" w:eastAsia="zh-CN"/>
        </w:rPr>
        <w:t>采购人指定地点</w:t>
      </w:r>
      <w:r>
        <w:rPr>
          <w:rFonts w:hint="default" w:ascii="Times New Roman" w:hAnsi="Times New Roman" w:eastAsia="宋体" w:cs="Times New Roman"/>
          <w:b w:val="0"/>
          <w:bCs/>
          <w:i/>
          <w:iCs/>
          <w:color w:val="auto"/>
          <w:spacing w:val="7"/>
          <w:sz w:val="24"/>
          <w:szCs w:val="24"/>
          <w:highlight w:val="none"/>
          <w:u w:val="single"/>
          <w:lang w:val="en-US" w:eastAsia="zh-CN"/>
        </w:rPr>
        <w:t>。</w:t>
      </w:r>
    </w:p>
    <w:p w14:paraId="40DA33F1">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bCs w:val="0"/>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2</w:t>
      </w:r>
      <w:r>
        <w:rPr>
          <w:rFonts w:hint="eastAsia" w:ascii="Times New Roman" w:hAnsi="Times New Roman" w:cs="Times New Roman"/>
          <w:b/>
          <w:bCs/>
          <w:color w:val="auto"/>
          <w:spacing w:val="7"/>
          <w:sz w:val="24"/>
          <w:szCs w:val="24"/>
          <w:highlight w:val="none"/>
          <w:lang w:val="en-US" w:eastAsia="zh-CN"/>
        </w:rPr>
        <w:t>．</w:t>
      </w:r>
      <w:r>
        <w:rPr>
          <w:rFonts w:hint="default" w:ascii="Times New Roman" w:hAnsi="Times New Roman" w:eastAsia="宋体" w:cs="Times New Roman"/>
          <w:b/>
          <w:bCs w:val="0"/>
          <w:color w:val="auto"/>
          <w:spacing w:val="7"/>
          <w:sz w:val="24"/>
          <w:szCs w:val="24"/>
          <w:highlight w:val="none"/>
          <w:lang w:val="en-US" w:eastAsia="zh-CN"/>
        </w:rPr>
        <w:t>付款方式：（审计科、财务处复核）</w:t>
      </w:r>
    </w:p>
    <w:p w14:paraId="38972D75">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color w:val="auto"/>
          <w:spacing w:val="7"/>
          <w:sz w:val="24"/>
          <w:szCs w:val="24"/>
          <w:highlight w:val="none"/>
          <w:lang w:val="en-US" w:eastAsia="zh-CN"/>
        </w:rPr>
      </w:pPr>
      <w:r>
        <w:rPr>
          <w:rFonts w:hint="default" w:ascii="Times New Roman" w:hAnsi="Times New Roman" w:eastAsia="宋体" w:cs="Times New Roman"/>
          <w:b w:val="0"/>
          <w:bCs/>
          <w:color w:val="auto"/>
          <w:spacing w:val="7"/>
          <w:sz w:val="24"/>
          <w:szCs w:val="24"/>
          <w:highlight w:val="none"/>
          <w:lang w:val="en-US" w:eastAsia="zh-CN"/>
        </w:rPr>
        <w:t>（1）结付程序</w:t>
      </w:r>
    </w:p>
    <w:p w14:paraId="0027D3F3">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 xml:space="preserve">合同签订生效后，中标人合格地履行合同内容，凭销售合同、验收报告、销售发票给甲方办理结算手续。 </w:t>
      </w:r>
    </w:p>
    <w:p w14:paraId="29E0663D">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color w:val="auto"/>
          <w:spacing w:val="7"/>
          <w:sz w:val="24"/>
          <w:szCs w:val="24"/>
          <w:highlight w:val="none"/>
          <w:lang w:val="en-US" w:eastAsia="zh-CN"/>
        </w:rPr>
      </w:pPr>
      <w:r>
        <w:rPr>
          <w:rFonts w:hint="default" w:ascii="Times New Roman" w:hAnsi="Times New Roman" w:eastAsia="宋体" w:cs="Times New Roman"/>
          <w:b w:val="0"/>
          <w:bCs/>
          <w:color w:val="auto"/>
          <w:spacing w:val="7"/>
          <w:sz w:val="24"/>
          <w:szCs w:val="24"/>
          <w:highlight w:val="none"/>
          <w:lang w:val="en-US" w:eastAsia="zh-CN"/>
        </w:rPr>
        <w:t>（2）结付期限</w:t>
      </w:r>
    </w:p>
    <w:p w14:paraId="4EB0B016">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①合同签订生效后7个工作日内，</w:t>
      </w:r>
      <w:r>
        <w:rPr>
          <w:rFonts w:hint="eastAsia" w:ascii="Times New Roman" w:hAnsi="Times New Roman" w:eastAsia="宋体" w:cs="Times New Roman"/>
          <w:b w:val="0"/>
          <w:bCs/>
          <w:i/>
          <w:iCs/>
          <w:color w:val="auto"/>
          <w:spacing w:val="7"/>
          <w:sz w:val="24"/>
          <w:szCs w:val="24"/>
          <w:highlight w:val="none"/>
          <w:u w:val="single"/>
          <w:lang w:val="en-US" w:eastAsia="zh-CN"/>
        </w:rPr>
        <w:t>中标人</w:t>
      </w:r>
      <w:r>
        <w:rPr>
          <w:rFonts w:hint="default" w:ascii="Times New Roman" w:hAnsi="Times New Roman" w:eastAsia="宋体" w:cs="Times New Roman"/>
          <w:b w:val="0"/>
          <w:bCs/>
          <w:i/>
          <w:iCs/>
          <w:color w:val="auto"/>
          <w:spacing w:val="7"/>
          <w:sz w:val="24"/>
          <w:szCs w:val="24"/>
          <w:highlight w:val="none"/>
          <w:u w:val="single"/>
          <w:lang w:val="en-US" w:eastAsia="zh-CN"/>
        </w:rPr>
        <w:t>填写付款申请并附合同复印件交采购单位，采购单位支付合同金额的30%作为预付款；</w:t>
      </w:r>
    </w:p>
    <w:p w14:paraId="57845CC5">
      <w:pPr>
        <w:pStyle w:val="63"/>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②项目服务完成并经验收合格</w:t>
      </w:r>
      <w:r>
        <w:rPr>
          <w:rFonts w:hint="eastAsia" w:ascii="Times New Roman" w:hAnsi="Times New Roman" w:eastAsia="宋体" w:cs="Times New Roman"/>
          <w:b w:val="0"/>
          <w:bCs/>
          <w:i/>
          <w:iCs/>
          <w:color w:val="auto"/>
          <w:spacing w:val="7"/>
          <w:sz w:val="24"/>
          <w:szCs w:val="24"/>
          <w:highlight w:val="none"/>
          <w:u w:val="single"/>
          <w:lang w:val="en-US" w:eastAsia="zh-CN"/>
        </w:rPr>
        <w:t>签署验收报告</w:t>
      </w:r>
      <w:r>
        <w:rPr>
          <w:rFonts w:hint="default" w:ascii="Times New Roman" w:hAnsi="Times New Roman" w:eastAsia="宋体" w:cs="Times New Roman"/>
          <w:b w:val="0"/>
          <w:bCs/>
          <w:i/>
          <w:iCs/>
          <w:color w:val="auto"/>
          <w:spacing w:val="7"/>
          <w:sz w:val="24"/>
          <w:szCs w:val="24"/>
          <w:highlight w:val="none"/>
          <w:u w:val="single"/>
          <w:lang w:val="en-US" w:eastAsia="zh-CN"/>
        </w:rPr>
        <w:t>后，采购人支付本项目合同总价的</w:t>
      </w:r>
      <w:r>
        <w:rPr>
          <w:rFonts w:hint="eastAsia" w:ascii="Times New Roman" w:hAnsi="Times New Roman" w:eastAsia="宋体" w:cs="Times New Roman"/>
          <w:b w:val="0"/>
          <w:bCs/>
          <w:i/>
          <w:iCs/>
          <w:color w:val="auto"/>
          <w:spacing w:val="7"/>
          <w:sz w:val="24"/>
          <w:szCs w:val="24"/>
          <w:highlight w:val="none"/>
          <w:u w:val="single"/>
          <w:lang w:val="en-US" w:eastAsia="zh-CN"/>
        </w:rPr>
        <w:t>70</w:t>
      </w:r>
      <w:r>
        <w:rPr>
          <w:rFonts w:hint="default" w:ascii="Times New Roman" w:hAnsi="Times New Roman" w:eastAsia="宋体" w:cs="Times New Roman"/>
          <w:b w:val="0"/>
          <w:bCs/>
          <w:i/>
          <w:iCs/>
          <w:color w:val="auto"/>
          <w:spacing w:val="7"/>
          <w:sz w:val="24"/>
          <w:szCs w:val="24"/>
          <w:highlight w:val="none"/>
          <w:u w:val="single"/>
          <w:lang w:val="en-US" w:eastAsia="zh-CN"/>
        </w:rPr>
        <w:t>%</w:t>
      </w:r>
      <w:r>
        <w:rPr>
          <w:rFonts w:hint="eastAsia" w:ascii="Times New Roman" w:hAnsi="Times New Roman" w:eastAsia="宋体" w:cs="Times New Roman"/>
          <w:b w:val="0"/>
          <w:bCs/>
          <w:i/>
          <w:iCs/>
          <w:color w:val="auto"/>
          <w:spacing w:val="7"/>
          <w:sz w:val="24"/>
          <w:szCs w:val="24"/>
          <w:highlight w:val="none"/>
          <w:u w:val="single"/>
          <w:lang w:val="en-US" w:eastAsia="zh-CN"/>
        </w:rPr>
        <w:t>同时返还履约保证金</w:t>
      </w:r>
      <w:r>
        <w:rPr>
          <w:rFonts w:hint="default" w:ascii="Times New Roman" w:hAnsi="Times New Roman" w:eastAsia="宋体" w:cs="Times New Roman"/>
          <w:b w:val="0"/>
          <w:bCs/>
          <w:i/>
          <w:iCs/>
          <w:color w:val="auto"/>
          <w:spacing w:val="7"/>
          <w:sz w:val="24"/>
          <w:szCs w:val="24"/>
          <w:highlight w:val="none"/>
          <w:u w:val="single"/>
          <w:lang w:val="en-US" w:eastAsia="zh-CN"/>
        </w:rPr>
        <w:t>。</w:t>
      </w:r>
    </w:p>
    <w:p w14:paraId="1CCE181A">
      <w:pPr>
        <w:pStyle w:val="63"/>
        <w:numPr>
          <w:ilvl w:val="0"/>
          <w:numId w:val="0"/>
        </w:numPr>
        <w:kinsoku/>
        <w:wordWrap/>
        <w:overflowPunct/>
        <w:topLinePunct w:val="0"/>
        <w:autoSpaceDE/>
        <w:autoSpaceDN/>
        <w:bidi w:val="0"/>
        <w:adjustRightInd/>
        <w:spacing w:line="300" w:lineRule="auto"/>
        <w:ind w:left="0" w:leftChars="0" w:firstLine="510" w:firstLineChars="200"/>
        <w:textAlignment w:val="auto"/>
        <w:outlineLvl w:val="9"/>
        <w:rPr>
          <w:rFonts w:hint="default" w:ascii="Times New Roman" w:hAnsi="Times New Roman" w:eastAsia="宋体" w:cs="Times New Roman"/>
          <w:b/>
          <w:bCs w:val="0"/>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3</w:t>
      </w:r>
      <w:r>
        <w:rPr>
          <w:rFonts w:hint="eastAsia" w:ascii="Times New Roman" w:hAnsi="Times New Roman" w:cs="Times New Roman"/>
          <w:b/>
          <w:bCs/>
          <w:color w:val="auto"/>
          <w:spacing w:val="7"/>
          <w:sz w:val="24"/>
          <w:szCs w:val="24"/>
          <w:highlight w:val="none"/>
          <w:lang w:val="en-US" w:eastAsia="zh-CN"/>
        </w:rPr>
        <w:t>．</w:t>
      </w:r>
      <w:r>
        <w:rPr>
          <w:rFonts w:hint="default" w:ascii="Times New Roman" w:hAnsi="Times New Roman" w:eastAsia="宋体" w:cs="Times New Roman"/>
          <w:b/>
          <w:bCs w:val="0"/>
          <w:color w:val="auto"/>
          <w:spacing w:val="7"/>
          <w:sz w:val="24"/>
          <w:szCs w:val="24"/>
          <w:highlight w:val="none"/>
          <w:lang w:val="en-US" w:eastAsia="zh-CN"/>
        </w:rPr>
        <w:t>投标货币</w:t>
      </w:r>
    </w:p>
    <w:p w14:paraId="48D6097D">
      <w:pPr>
        <w:pStyle w:val="63"/>
        <w:numPr>
          <w:ilvl w:val="0"/>
          <w:numId w:val="0"/>
        </w:numPr>
        <w:kinsoku/>
        <w:wordWrap/>
        <w:overflowPunct/>
        <w:topLinePunct w:val="0"/>
        <w:autoSpaceDE/>
        <w:autoSpaceDN/>
        <w:bidi w:val="0"/>
        <w:adjustRightInd/>
        <w:spacing w:line="300" w:lineRule="auto"/>
        <w:ind w:left="0" w:leftChars="0" w:firstLine="508" w:firstLineChars="200"/>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采用人民币报价。</w:t>
      </w:r>
    </w:p>
    <w:p w14:paraId="3C6CB785">
      <w:pPr>
        <w:pStyle w:val="63"/>
        <w:numPr>
          <w:ilvl w:val="0"/>
          <w:numId w:val="0"/>
        </w:numPr>
        <w:kinsoku/>
        <w:wordWrap/>
        <w:overflowPunct/>
        <w:topLinePunct w:val="0"/>
        <w:autoSpaceDE/>
        <w:autoSpaceDN/>
        <w:bidi w:val="0"/>
        <w:adjustRightInd/>
        <w:spacing w:line="300" w:lineRule="auto"/>
        <w:ind w:left="0" w:leftChars="0" w:firstLine="510" w:firstLineChars="200"/>
        <w:textAlignment w:val="auto"/>
        <w:outlineLvl w:val="9"/>
        <w:rPr>
          <w:rStyle w:val="21"/>
          <w:rFonts w:hint="default" w:ascii="Times New Roman" w:hAnsi="Times New Roman" w:eastAsia="宋体" w:cs="Times New Roman"/>
          <w:b/>
          <w:bCs w:val="0"/>
          <w:i w:val="0"/>
          <w:color w:val="auto"/>
          <w:spacing w:val="7"/>
          <w:sz w:val="24"/>
          <w:highlight w:val="none"/>
          <w:u w:val="none"/>
        </w:rPr>
      </w:pPr>
      <w:r>
        <w:rPr>
          <w:rFonts w:hint="default" w:ascii="Times New Roman" w:hAnsi="Times New Roman" w:eastAsia="宋体" w:cs="Times New Roman"/>
          <w:b/>
          <w:bCs w:val="0"/>
          <w:i w:val="0"/>
          <w:color w:val="auto"/>
          <w:spacing w:val="7"/>
          <w:sz w:val="24"/>
          <w:szCs w:val="24"/>
          <w:highlight w:val="none"/>
          <w:lang w:val="en-US" w:eastAsia="zh-CN"/>
        </w:rPr>
        <w:t>4</w:t>
      </w:r>
      <w:r>
        <w:rPr>
          <w:rFonts w:hint="eastAsia" w:ascii="Times New Roman" w:hAnsi="Times New Roman" w:cs="Times New Roman"/>
          <w:b/>
          <w:bCs w:val="0"/>
          <w:color w:val="auto"/>
          <w:spacing w:val="7"/>
          <w:sz w:val="24"/>
          <w:szCs w:val="24"/>
          <w:highlight w:val="none"/>
          <w:lang w:val="en-US" w:eastAsia="zh-CN"/>
        </w:rPr>
        <w:t>．</w:t>
      </w:r>
      <w:r>
        <w:rPr>
          <w:rStyle w:val="21"/>
          <w:rFonts w:hint="default" w:ascii="Times New Roman" w:hAnsi="Times New Roman" w:eastAsia="宋体" w:cs="Times New Roman"/>
          <w:b/>
          <w:bCs w:val="0"/>
          <w:i w:val="0"/>
          <w:color w:val="auto"/>
          <w:spacing w:val="7"/>
          <w:kern w:val="2"/>
          <w:sz w:val="24"/>
          <w:szCs w:val="22"/>
          <w:highlight w:val="none"/>
          <w:u w:val="none"/>
          <w:lang w:val="en-US" w:eastAsia="zh-CN" w:bidi="ar-SA"/>
        </w:rPr>
        <w:t>备品备件及耗材等要求</w:t>
      </w:r>
    </w:p>
    <w:p w14:paraId="4A49DCEF">
      <w:pPr>
        <w:numPr>
          <w:ilvl w:val="0"/>
          <w:numId w:val="0"/>
        </w:numPr>
        <w:kinsoku/>
        <w:wordWrap/>
        <w:overflowPunct/>
        <w:topLinePunct w:val="0"/>
        <w:autoSpaceDE/>
        <w:autoSpaceDN/>
        <w:bidi w:val="0"/>
        <w:adjustRightInd/>
        <w:spacing w:line="300" w:lineRule="auto"/>
        <w:ind w:firstLine="560" w:firstLineChars="200"/>
        <w:textAlignment w:val="auto"/>
        <w:rPr>
          <w:rFonts w:hint="default" w:ascii="Times New Roman" w:hAnsi="Times New Roman" w:eastAsia="宋体" w:cs="Times New Roman"/>
          <w:b w:val="0"/>
          <w:bCs/>
          <w:color w:val="auto"/>
          <w:sz w:val="28"/>
          <w:szCs w:val="28"/>
          <w:highlight w:val="none"/>
          <w:lang w:val="en-US" w:eastAsia="zh-CN"/>
        </w:rPr>
      </w:pPr>
      <w:r>
        <w:rPr>
          <w:rFonts w:hint="default" w:ascii="Times New Roman" w:hAnsi="Times New Roman" w:eastAsia="宋体" w:cs="Times New Roman"/>
          <w:b w:val="0"/>
          <w:bCs/>
          <w:color w:val="auto"/>
          <w:sz w:val="28"/>
          <w:szCs w:val="28"/>
          <w:highlight w:val="none"/>
          <w:lang w:val="en-US" w:eastAsia="zh-CN"/>
        </w:rPr>
        <w:t>无</w:t>
      </w:r>
    </w:p>
    <w:p w14:paraId="52A6EDD3">
      <w:pPr>
        <w:kinsoku/>
        <w:wordWrap/>
        <w:overflowPunct/>
        <w:topLinePunct w:val="0"/>
        <w:autoSpaceDE/>
        <w:autoSpaceDN/>
        <w:bidi w:val="0"/>
        <w:adjustRightInd/>
        <w:snapToGrid w:val="0"/>
        <w:spacing w:line="300" w:lineRule="auto"/>
        <w:ind w:firstLine="562" w:firstLineChars="200"/>
        <w:jc w:val="center"/>
        <w:textAlignment w:val="auto"/>
        <w:rPr>
          <w:rFonts w:hint="default" w:ascii="Times New Roman" w:hAnsi="Times New Roman" w:eastAsia="宋体" w:cs="Times New Roman"/>
          <w:bCs/>
          <w:color w:val="auto"/>
          <w:sz w:val="24"/>
          <w:szCs w:val="32"/>
          <w:highlight w:val="none"/>
        </w:rPr>
      </w:pPr>
      <w:r>
        <w:rPr>
          <w:rFonts w:hint="default" w:ascii="Times New Roman" w:hAnsi="Times New Roman" w:eastAsia="宋体" w:cs="Times New Roman"/>
          <w:b/>
          <w:color w:val="auto"/>
          <w:sz w:val="28"/>
          <w:szCs w:val="28"/>
          <w:highlight w:val="none"/>
        </w:rPr>
        <w:br w:type="page"/>
      </w:r>
      <w:bookmarkStart w:id="245" w:name="_Toc35244877"/>
      <w:bookmarkStart w:id="246" w:name="_Toc54119655"/>
      <w:bookmarkStart w:id="247" w:name="_Toc27030"/>
      <w:r>
        <w:rPr>
          <w:rFonts w:hint="default" w:ascii="Times New Roman" w:hAnsi="Times New Roman" w:eastAsia="宋体" w:cs="Times New Roman"/>
          <w:b/>
          <w:bCs/>
          <w:color w:val="auto"/>
          <w:sz w:val="44"/>
          <w:szCs w:val="32"/>
          <w:highlight w:val="none"/>
        </w:rPr>
        <w:t>第五章  评标方法与评标标准</w:t>
      </w:r>
      <w:bookmarkEnd w:id="245"/>
      <w:bookmarkEnd w:id="246"/>
      <w:bookmarkEnd w:id="247"/>
    </w:p>
    <w:p w14:paraId="4EE5970B">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Cs/>
          <w:color w:val="auto"/>
          <w:sz w:val="32"/>
          <w:szCs w:val="32"/>
          <w:highlight w:val="none"/>
        </w:rPr>
      </w:pPr>
      <w:bookmarkStart w:id="248" w:name="_Toc40428754"/>
      <w:r>
        <w:rPr>
          <w:rFonts w:hint="default" w:ascii="Times New Roman" w:hAnsi="Times New Roman" w:eastAsia="宋体" w:cs="Times New Roman"/>
          <w:bCs/>
          <w:color w:val="auto"/>
          <w:sz w:val="32"/>
          <w:szCs w:val="32"/>
          <w:highlight w:val="none"/>
        </w:rPr>
        <w:t>一、评标方法与定标原则</w:t>
      </w:r>
      <w:bookmarkEnd w:id="248"/>
    </w:p>
    <w:p w14:paraId="244608B2">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spacing w:val="7"/>
          <w:sz w:val="24"/>
          <w:szCs w:val="24"/>
          <w:highlight w:val="none"/>
          <w:lang w:val="en-US" w:eastAsia="zh-CN"/>
        </w:rPr>
      </w:pPr>
      <w:bookmarkStart w:id="249" w:name="EBd9567453f96a4fca96262d13cc886515"/>
      <w:bookmarkEnd w:id="249"/>
      <w:bookmarkStart w:id="250" w:name="_Toc40428755"/>
      <w:r>
        <w:rPr>
          <w:rFonts w:hint="default" w:ascii="Times New Roman" w:hAnsi="Times New Roman" w:eastAsia="宋体" w:cs="Times New Roman"/>
          <w:spacing w:val="7"/>
          <w:sz w:val="24"/>
          <w:szCs w:val="24"/>
          <w:highlight w:val="none"/>
          <w:lang w:val="en-US" w:eastAsia="zh-CN"/>
        </w:rPr>
        <w:t>1</w:t>
      </w:r>
      <w:r>
        <w:rPr>
          <w:rFonts w:hint="eastAsia"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spacing w:val="7"/>
          <w:sz w:val="24"/>
          <w:szCs w:val="24"/>
          <w:highlight w:val="none"/>
          <w:lang w:val="en-US"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D364C77">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spacing w:val="7"/>
          <w:sz w:val="24"/>
          <w:szCs w:val="24"/>
          <w:highlight w:val="none"/>
          <w:lang w:val="en-US" w:eastAsia="zh-CN"/>
        </w:rPr>
      </w:pPr>
      <w:r>
        <w:rPr>
          <w:rFonts w:hint="default" w:ascii="Times New Roman" w:hAnsi="Times New Roman" w:eastAsia="宋体" w:cs="Times New Roman"/>
          <w:spacing w:val="7"/>
          <w:sz w:val="24"/>
          <w:szCs w:val="24"/>
          <w:highlight w:val="none"/>
          <w:lang w:val="en-US" w:eastAsia="zh-CN"/>
        </w:rPr>
        <w:t>2</w:t>
      </w:r>
      <w:r>
        <w:rPr>
          <w:rFonts w:hint="eastAsia"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spacing w:val="7"/>
          <w:sz w:val="24"/>
          <w:szCs w:val="24"/>
          <w:highlight w:val="none"/>
          <w:lang w:val="en-US" w:eastAsia="zh-CN"/>
        </w:rPr>
        <w:t>针对中小型企业的评审：</w:t>
      </w:r>
      <w:r>
        <w:rPr>
          <w:rFonts w:hint="default" w:ascii="Times New Roman" w:hAnsi="Times New Roman" w:eastAsia="宋体" w:cs="Times New Roman"/>
          <w:spacing w:val="7"/>
          <w:sz w:val="24"/>
          <w:szCs w:val="24"/>
          <w:highlight w:val="none"/>
          <w:lang w:val="en-US" w:eastAsia="zh-CN"/>
        </w:rPr>
        <w:t xml:space="preserve">（1）根据《政府采购促进中小企业发展管理办法》 </w:t>
      </w:r>
      <w:r>
        <w:rPr>
          <w:rFonts w:hint="eastAsia" w:ascii="Times New Roman" w:hAnsi="Times New Roman" w:eastAsia="宋体" w:cs="Times New Roman"/>
          <w:spacing w:val="7"/>
          <w:sz w:val="24"/>
          <w:szCs w:val="24"/>
          <w:highlight w:val="none"/>
          <w:lang w:val="en-US" w:eastAsia="zh-CN"/>
        </w:rPr>
        <w:t>（</w:t>
      </w:r>
      <w:r>
        <w:rPr>
          <w:rFonts w:hint="default" w:ascii="Times New Roman" w:hAnsi="Times New Roman" w:eastAsia="宋体" w:cs="Times New Roman"/>
          <w:spacing w:val="7"/>
          <w:sz w:val="24"/>
          <w:szCs w:val="24"/>
          <w:highlight w:val="none"/>
          <w:lang w:val="en-US" w:eastAsia="zh-CN"/>
        </w:rPr>
        <w:t>财库〔2020〕46号</w:t>
      </w:r>
      <w:r>
        <w:rPr>
          <w:rFonts w:hint="eastAsia" w:ascii="Times New Roman" w:hAnsi="Times New Roman" w:eastAsia="宋体" w:cs="Times New Roman"/>
          <w:spacing w:val="7"/>
          <w:sz w:val="24"/>
          <w:szCs w:val="24"/>
          <w:highlight w:val="none"/>
          <w:lang w:val="en-US" w:eastAsia="zh-CN"/>
        </w:rPr>
        <w:t>）</w:t>
      </w:r>
      <w:r>
        <w:rPr>
          <w:rFonts w:hint="default" w:ascii="Times New Roman" w:hAnsi="Times New Roman" w:eastAsia="宋体" w:cs="Times New Roman"/>
          <w:spacing w:val="7"/>
          <w:sz w:val="24"/>
          <w:szCs w:val="24"/>
          <w:highlight w:val="none"/>
          <w:lang w:val="en-US" w:eastAsia="zh-CN"/>
        </w:rPr>
        <w:t>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1E3E980">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Cs/>
          <w:color w:val="000000"/>
          <w:sz w:val="32"/>
          <w:szCs w:val="32"/>
          <w:highlight w:val="none"/>
        </w:rPr>
      </w:pPr>
      <w:r>
        <w:rPr>
          <w:rFonts w:hint="default" w:ascii="Times New Roman" w:hAnsi="Times New Roman" w:eastAsia="宋体" w:cs="Times New Roman"/>
          <w:spacing w:val="7"/>
          <w:sz w:val="24"/>
          <w:szCs w:val="24"/>
          <w:highlight w:val="none"/>
          <w:lang w:val="en-US" w:eastAsia="zh-CN"/>
        </w:rPr>
        <w:t>注：投标人如不提供以上证明材料的，不得享受相关政府采购政策。</w:t>
      </w:r>
    </w:p>
    <w:p w14:paraId="64DBF781">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Cs/>
          <w:color w:val="auto"/>
          <w:sz w:val="32"/>
          <w:szCs w:val="32"/>
          <w:highlight w:val="none"/>
        </w:rPr>
        <w:t>二、评标标准</w:t>
      </w:r>
      <w:bookmarkEnd w:id="250"/>
      <w:r>
        <w:rPr>
          <w:rFonts w:hint="default" w:ascii="Times New Roman" w:hAnsi="Times New Roman" w:eastAsia="宋体" w:cs="Times New Roman"/>
          <w:bCs/>
          <w:color w:val="auto"/>
          <w:sz w:val="32"/>
          <w:szCs w:val="32"/>
          <w:highlight w:val="none"/>
        </w:rPr>
        <w:t xml:space="preserve">    </w:t>
      </w:r>
    </w:p>
    <w:p w14:paraId="4B525549">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Fonts w:hint="eastAsia"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b/>
          <w:color w:val="auto"/>
          <w:spacing w:val="7"/>
          <w:sz w:val="24"/>
          <w:szCs w:val="24"/>
          <w:highlight w:val="none"/>
          <w:lang w:val="en-US" w:eastAsia="zh-CN"/>
        </w:rPr>
        <w:t>价格分 3</w:t>
      </w:r>
      <w:r>
        <w:rPr>
          <w:rFonts w:hint="eastAsia" w:ascii="Times New Roman" w:hAnsi="Times New Roman" w:eastAsia="宋体" w:cs="Times New Roman"/>
          <w:b/>
          <w:color w:val="auto"/>
          <w:spacing w:val="7"/>
          <w:sz w:val="24"/>
          <w:szCs w:val="24"/>
          <w:highlight w:val="none"/>
          <w:lang w:val="en-US" w:eastAsia="zh-CN"/>
        </w:rPr>
        <w:t>5</w:t>
      </w:r>
      <w:r>
        <w:rPr>
          <w:rFonts w:hint="default" w:ascii="Times New Roman" w:hAnsi="Times New Roman" w:eastAsia="宋体" w:cs="Times New Roman"/>
          <w:b/>
          <w:color w:val="auto"/>
          <w:spacing w:val="7"/>
          <w:sz w:val="24"/>
          <w:szCs w:val="24"/>
          <w:highlight w:val="none"/>
          <w:lang w:val="en-US" w:eastAsia="zh-CN"/>
        </w:rPr>
        <w:t>.0 分</w:t>
      </w:r>
    </w:p>
    <w:p w14:paraId="381BDAE5">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采用低价优先法计算，即满足招标文件要求且投标价格最低的投标价为评标基准价，其价格分为满分3</w:t>
      </w:r>
      <w:r>
        <w:rPr>
          <w:rStyle w:val="21"/>
          <w:rFonts w:hint="eastAsia" w:ascii="Times New Roman" w:hAnsi="Times New Roman" w:eastAsia="宋体" w:cs="Times New Roman"/>
          <w:b w:val="0"/>
          <w:color w:val="auto"/>
          <w:spacing w:val="7"/>
          <w:kern w:val="2"/>
          <w:sz w:val="24"/>
          <w:szCs w:val="22"/>
          <w:highlight w:val="none"/>
          <w:lang w:val="en-US" w:eastAsia="zh-CN" w:bidi="ar-SA"/>
        </w:rPr>
        <w:t>5</w:t>
      </w:r>
      <w:r>
        <w:rPr>
          <w:rStyle w:val="21"/>
          <w:rFonts w:hint="default" w:ascii="Times New Roman" w:hAnsi="Times New Roman" w:eastAsia="宋体" w:cs="Times New Roman"/>
          <w:b w:val="0"/>
          <w:color w:val="auto"/>
          <w:spacing w:val="7"/>
          <w:kern w:val="2"/>
          <w:sz w:val="24"/>
          <w:szCs w:val="22"/>
          <w:highlight w:val="none"/>
          <w:lang w:val="en-US" w:eastAsia="zh-CN" w:bidi="ar-SA"/>
        </w:rPr>
        <w:t>.0分。其他投标人的价格分统一按照下列公式计算：</w:t>
      </w:r>
    </w:p>
    <w:p w14:paraId="40CFB8ED">
      <w:pPr>
        <w:pStyle w:val="64"/>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color w:val="auto"/>
          <w:highlight w:val="none"/>
          <w:lang w:val="en-US" w:eastAsia="zh-CN"/>
        </w:rPr>
      </w:pPr>
      <w:r>
        <w:rPr>
          <w:rStyle w:val="21"/>
          <w:rFonts w:hint="default" w:ascii="Times New Roman" w:hAnsi="Times New Roman" w:eastAsia="宋体" w:cs="Times New Roman"/>
          <w:b w:val="0"/>
          <w:color w:val="auto"/>
          <w:spacing w:val="7"/>
          <w:kern w:val="2"/>
          <w:sz w:val="24"/>
          <w:szCs w:val="22"/>
          <w:highlight w:val="none"/>
          <w:lang w:val="en-US" w:eastAsia="zh-CN" w:bidi="ar-SA"/>
        </w:rPr>
        <w:t xml:space="preserve">投标报价得分=（评标基准价/投标报价）* </w:t>
      </w:r>
      <w:r>
        <w:rPr>
          <w:rStyle w:val="21"/>
          <w:rFonts w:hint="eastAsia" w:ascii="Times New Roman" w:hAnsi="Times New Roman" w:eastAsia="宋体" w:cs="Times New Roman"/>
          <w:b w:val="0"/>
          <w:color w:val="auto"/>
          <w:spacing w:val="7"/>
          <w:kern w:val="2"/>
          <w:sz w:val="24"/>
          <w:szCs w:val="22"/>
          <w:highlight w:val="none"/>
          <w:lang w:val="en-US" w:eastAsia="zh-CN" w:bidi="ar-SA"/>
        </w:rPr>
        <w:t>35</w:t>
      </w:r>
      <w:r>
        <w:rPr>
          <w:rStyle w:val="21"/>
          <w:rFonts w:hint="default" w:ascii="Times New Roman" w:hAnsi="Times New Roman" w:eastAsia="宋体" w:cs="Times New Roman"/>
          <w:b w:val="0"/>
          <w:color w:val="auto"/>
          <w:spacing w:val="7"/>
          <w:kern w:val="2"/>
          <w:sz w:val="24"/>
          <w:szCs w:val="22"/>
          <w:highlight w:val="none"/>
          <w:lang w:val="en-US" w:eastAsia="zh-CN" w:bidi="ar-SA"/>
        </w:rPr>
        <w:t>.0% * 100（保留二位小数）；</w:t>
      </w:r>
    </w:p>
    <w:p w14:paraId="730E584F">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2</w:t>
      </w:r>
      <w:r>
        <w:rPr>
          <w:rFonts w:hint="eastAsia"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b/>
          <w:color w:val="auto"/>
          <w:spacing w:val="7"/>
          <w:sz w:val="24"/>
          <w:szCs w:val="24"/>
          <w:highlight w:val="none"/>
          <w:lang w:val="en-US" w:eastAsia="zh-CN"/>
        </w:rPr>
        <w:t xml:space="preserve">技术参数分 </w:t>
      </w:r>
      <w:r>
        <w:rPr>
          <w:rFonts w:hint="eastAsia" w:ascii="Times New Roman" w:hAnsi="Times New Roman" w:eastAsia="宋体" w:cs="Times New Roman"/>
          <w:b/>
          <w:color w:val="auto"/>
          <w:spacing w:val="7"/>
          <w:sz w:val="24"/>
          <w:szCs w:val="24"/>
          <w:highlight w:val="none"/>
          <w:lang w:val="en-US" w:eastAsia="zh-CN"/>
        </w:rPr>
        <w:t>2</w:t>
      </w:r>
      <w:r>
        <w:rPr>
          <w:rFonts w:hint="eastAsia" w:ascii="Times New Roman" w:hAnsi="Times New Roman" w:cs="Times New Roman"/>
          <w:b/>
          <w:color w:val="auto"/>
          <w:spacing w:val="7"/>
          <w:sz w:val="24"/>
          <w:szCs w:val="24"/>
          <w:highlight w:val="none"/>
          <w:lang w:val="en-US" w:eastAsia="zh-CN"/>
        </w:rPr>
        <w:t>3</w:t>
      </w:r>
      <w:r>
        <w:rPr>
          <w:rFonts w:hint="default" w:ascii="Times New Roman" w:hAnsi="Times New Roman" w:eastAsia="宋体" w:cs="Times New Roman"/>
          <w:b/>
          <w:color w:val="auto"/>
          <w:spacing w:val="7"/>
          <w:sz w:val="24"/>
          <w:szCs w:val="24"/>
          <w:highlight w:val="none"/>
          <w:lang w:val="en-US" w:eastAsia="zh-CN"/>
        </w:rPr>
        <w:t>.0 分</w:t>
      </w:r>
    </w:p>
    <w:p w14:paraId="33498611">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全部满足采购技术要求的得基本分2</w:t>
      </w:r>
      <w:r>
        <w:rPr>
          <w:rStyle w:val="21"/>
          <w:rFonts w:hint="eastAsia" w:ascii="Times New Roman" w:hAnsi="Times New Roman" w:eastAsia="宋体" w:cs="Times New Roman"/>
          <w:b w:val="0"/>
          <w:color w:val="auto"/>
          <w:spacing w:val="7"/>
          <w:kern w:val="2"/>
          <w:sz w:val="24"/>
          <w:szCs w:val="22"/>
          <w:highlight w:val="none"/>
          <w:lang w:val="en-US" w:eastAsia="zh-CN" w:bidi="ar-SA"/>
        </w:rPr>
        <w:t>3</w:t>
      </w:r>
      <w:r>
        <w:rPr>
          <w:rStyle w:val="21"/>
          <w:rFonts w:hint="default" w:ascii="Times New Roman" w:hAnsi="Times New Roman" w:eastAsia="宋体" w:cs="Times New Roman"/>
          <w:b w:val="0"/>
          <w:color w:val="auto"/>
          <w:spacing w:val="7"/>
          <w:kern w:val="2"/>
          <w:sz w:val="24"/>
          <w:szCs w:val="22"/>
          <w:highlight w:val="none"/>
          <w:lang w:val="en-US" w:eastAsia="zh-CN" w:bidi="ar-SA"/>
        </w:rPr>
        <w:t>分；注"▲"为重要参数，负偏离的每项减</w:t>
      </w:r>
      <w:r>
        <w:rPr>
          <w:rStyle w:val="21"/>
          <w:rFonts w:hint="eastAsia" w:ascii="Times New Roman" w:hAnsi="Times New Roman" w:eastAsia="宋体" w:cs="Times New Roman"/>
          <w:b w:val="0"/>
          <w:color w:val="auto"/>
          <w:spacing w:val="7"/>
          <w:kern w:val="2"/>
          <w:sz w:val="24"/>
          <w:szCs w:val="22"/>
          <w:highlight w:val="none"/>
          <w:lang w:val="en-US" w:eastAsia="zh-CN" w:bidi="ar-SA"/>
        </w:rPr>
        <w:t>0.5</w:t>
      </w:r>
      <w:r>
        <w:rPr>
          <w:rStyle w:val="21"/>
          <w:rFonts w:hint="default" w:ascii="Times New Roman" w:hAnsi="Times New Roman" w:eastAsia="宋体" w:cs="Times New Roman"/>
          <w:b w:val="0"/>
          <w:color w:val="auto"/>
          <w:spacing w:val="7"/>
          <w:kern w:val="2"/>
          <w:sz w:val="24"/>
          <w:szCs w:val="22"/>
          <w:highlight w:val="none"/>
          <w:lang w:val="en-US" w:eastAsia="zh-CN" w:bidi="ar-SA"/>
        </w:rPr>
        <w:t>分；其他项负偏离的，每项减0.</w:t>
      </w:r>
      <w:r>
        <w:rPr>
          <w:rStyle w:val="21"/>
          <w:rFonts w:hint="eastAsia" w:ascii="Times New Roman" w:hAnsi="Times New Roman" w:eastAsia="宋体" w:cs="Times New Roman"/>
          <w:b w:val="0"/>
          <w:color w:val="auto"/>
          <w:spacing w:val="7"/>
          <w:kern w:val="2"/>
          <w:sz w:val="24"/>
          <w:szCs w:val="22"/>
          <w:highlight w:val="none"/>
          <w:lang w:val="en-US" w:eastAsia="zh-CN" w:bidi="ar-SA"/>
        </w:rPr>
        <w:t>2</w:t>
      </w:r>
      <w:r>
        <w:rPr>
          <w:rStyle w:val="21"/>
          <w:rFonts w:hint="default" w:ascii="Times New Roman" w:hAnsi="Times New Roman" w:eastAsia="宋体" w:cs="Times New Roman"/>
          <w:b w:val="0"/>
          <w:color w:val="auto"/>
          <w:spacing w:val="7"/>
          <w:kern w:val="2"/>
          <w:sz w:val="24"/>
          <w:szCs w:val="22"/>
          <w:highlight w:val="none"/>
          <w:lang w:val="en-US" w:eastAsia="zh-CN" w:bidi="ar-SA"/>
        </w:rPr>
        <w:t>5分，其中，需要提供有效证明文件的参数，不提供不得分，减完为止。</w:t>
      </w:r>
      <w:r>
        <w:rPr>
          <w:rStyle w:val="21"/>
          <w:rFonts w:hint="default" w:ascii="Times New Roman" w:hAnsi="Times New Roman" w:eastAsia="宋体" w:cs="Times New Roman"/>
          <w:b/>
          <w:bCs/>
          <w:color w:val="auto"/>
          <w:spacing w:val="7"/>
          <w:kern w:val="2"/>
          <w:sz w:val="24"/>
          <w:szCs w:val="22"/>
          <w:highlight w:val="none"/>
          <w:lang w:val="en-US" w:eastAsia="zh-CN" w:bidi="ar-SA"/>
        </w:rPr>
        <w:t>【0-</w:t>
      </w:r>
      <w:r>
        <w:rPr>
          <w:rStyle w:val="21"/>
          <w:rFonts w:hint="eastAsia" w:ascii="Times New Roman" w:hAnsi="Times New Roman" w:eastAsia="宋体" w:cs="Times New Roman"/>
          <w:b/>
          <w:bCs/>
          <w:color w:val="auto"/>
          <w:spacing w:val="7"/>
          <w:kern w:val="2"/>
          <w:sz w:val="24"/>
          <w:szCs w:val="22"/>
          <w:highlight w:val="none"/>
          <w:lang w:val="en-US" w:eastAsia="zh-CN" w:bidi="ar-SA"/>
        </w:rPr>
        <w:t>23</w:t>
      </w:r>
      <w:r>
        <w:rPr>
          <w:rStyle w:val="21"/>
          <w:rFonts w:hint="default" w:ascii="Times New Roman" w:hAnsi="Times New Roman" w:eastAsia="宋体" w:cs="Times New Roman"/>
          <w:b/>
          <w:bCs/>
          <w:color w:val="auto"/>
          <w:spacing w:val="7"/>
          <w:kern w:val="2"/>
          <w:sz w:val="24"/>
          <w:szCs w:val="22"/>
          <w:highlight w:val="none"/>
          <w:lang w:val="en-US" w:eastAsia="zh-CN" w:bidi="ar-SA"/>
        </w:rPr>
        <w:t>】</w:t>
      </w:r>
    </w:p>
    <w:p w14:paraId="6BB844AA">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highlight w:val="none"/>
        </w:rPr>
      </w:pPr>
      <w:r>
        <w:rPr>
          <w:rStyle w:val="21"/>
          <w:rFonts w:hint="default" w:ascii="Times New Roman" w:hAnsi="Times New Roman" w:eastAsia="宋体" w:cs="Times New Roman"/>
          <w:b/>
          <w:bCs/>
          <w:color w:val="auto"/>
          <w:spacing w:val="7"/>
          <w:kern w:val="2"/>
          <w:sz w:val="24"/>
          <w:szCs w:val="22"/>
          <w:highlight w:val="none"/>
          <w:lang w:val="en-US" w:eastAsia="zh-CN" w:bidi="ar-SA"/>
        </w:rPr>
        <w:t>注：带▲项为重要技术指标（共10处），投标人必须如实地在《技术参数响应及偏离表》中逐条标明满足与否，并对其真实性负责。</w:t>
      </w:r>
    </w:p>
    <w:p w14:paraId="7B18FD2A">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color w:val="auto"/>
          <w:spacing w:val="7"/>
          <w:sz w:val="24"/>
          <w:highlight w:val="none"/>
        </w:rPr>
      </w:pPr>
      <w:r>
        <w:rPr>
          <w:rStyle w:val="21"/>
          <w:rFonts w:hint="default" w:ascii="Times New Roman" w:hAnsi="Times New Roman" w:eastAsia="宋体" w:cs="Times New Roman"/>
          <w:b/>
          <w:bCs w:val="0"/>
          <w:color w:val="auto"/>
          <w:spacing w:val="7"/>
          <w:kern w:val="2"/>
          <w:sz w:val="24"/>
          <w:szCs w:val="22"/>
          <w:highlight w:val="none"/>
          <w:lang w:val="en-US" w:eastAsia="zh-CN" w:bidi="ar-SA"/>
        </w:rPr>
        <w:t>3</w:t>
      </w:r>
      <w:r>
        <w:rPr>
          <w:rFonts w:hint="eastAsia" w:ascii="Times New Roman" w:hAnsi="Times New Roman" w:cs="Times New Roman"/>
          <w:b/>
          <w:bCs w:val="0"/>
          <w:color w:val="auto"/>
          <w:spacing w:val="7"/>
          <w:sz w:val="24"/>
          <w:szCs w:val="24"/>
          <w:highlight w:val="none"/>
          <w:lang w:val="en-US" w:eastAsia="zh-CN"/>
        </w:rPr>
        <w:t>．</w:t>
      </w:r>
      <w:r>
        <w:rPr>
          <w:rStyle w:val="21"/>
          <w:rFonts w:hint="default" w:ascii="Times New Roman" w:hAnsi="Times New Roman" w:eastAsia="宋体" w:cs="Times New Roman"/>
          <w:b/>
          <w:color w:val="auto"/>
          <w:spacing w:val="7"/>
          <w:kern w:val="2"/>
          <w:sz w:val="24"/>
          <w:szCs w:val="22"/>
          <w:highlight w:val="none"/>
          <w:lang w:val="en-US" w:eastAsia="zh-CN" w:bidi="ar-SA"/>
        </w:rPr>
        <w:t>项目方案 2</w:t>
      </w:r>
      <w:r>
        <w:rPr>
          <w:rStyle w:val="21"/>
          <w:rFonts w:hint="eastAsia" w:ascii="Times New Roman" w:hAnsi="Times New Roman" w:eastAsia="宋体" w:cs="Times New Roman"/>
          <w:b/>
          <w:color w:val="auto"/>
          <w:spacing w:val="7"/>
          <w:kern w:val="2"/>
          <w:sz w:val="24"/>
          <w:szCs w:val="22"/>
          <w:highlight w:val="none"/>
          <w:lang w:val="en-US" w:eastAsia="zh-CN" w:bidi="ar-SA"/>
        </w:rPr>
        <w:t>8</w:t>
      </w:r>
      <w:r>
        <w:rPr>
          <w:rStyle w:val="21"/>
          <w:rFonts w:hint="default" w:ascii="Times New Roman" w:hAnsi="Times New Roman" w:eastAsia="宋体" w:cs="Times New Roman"/>
          <w:b/>
          <w:color w:val="auto"/>
          <w:spacing w:val="7"/>
          <w:kern w:val="2"/>
          <w:sz w:val="24"/>
          <w:szCs w:val="22"/>
          <w:highlight w:val="none"/>
          <w:lang w:val="en-US" w:eastAsia="zh-CN" w:bidi="ar-SA"/>
        </w:rPr>
        <w:t>.0 分</w:t>
      </w:r>
    </w:p>
    <w:p w14:paraId="2A957F60">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highlight w:val="none"/>
          <w:lang w:val="en-US" w:eastAsia="zh-CN"/>
        </w:rPr>
      </w:pPr>
      <w:r>
        <w:rPr>
          <w:rStyle w:val="21"/>
          <w:rFonts w:hint="default" w:ascii="Times New Roman" w:hAnsi="Times New Roman" w:eastAsia="宋体" w:cs="Times New Roman"/>
          <w:b/>
          <w:bCs/>
          <w:color w:val="auto"/>
          <w:spacing w:val="7"/>
          <w:kern w:val="2"/>
          <w:sz w:val="24"/>
          <w:szCs w:val="22"/>
          <w:highlight w:val="none"/>
          <w:lang w:val="en-US" w:eastAsia="zh-CN" w:bidi="ar-SA"/>
        </w:rPr>
        <w:t>3.1检验信息系统技术方案</w:t>
      </w:r>
      <w:r>
        <w:rPr>
          <w:rStyle w:val="21"/>
          <w:rFonts w:hint="eastAsia" w:ascii="Times New Roman" w:hAnsi="Times New Roman" w:eastAsia="宋体" w:cs="Times New Roman"/>
          <w:b/>
          <w:bCs/>
          <w:color w:val="auto"/>
          <w:spacing w:val="7"/>
          <w:kern w:val="2"/>
          <w:sz w:val="24"/>
          <w:szCs w:val="22"/>
          <w:highlight w:val="none"/>
          <w:lang w:val="en-US" w:eastAsia="zh-CN" w:bidi="ar-SA"/>
        </w:rPr>
        <w:t>8分</w:t>
      </w:r>
    </w:p>
    <w:p w14:paraId="799C5507">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投标人根据招标文件要求提供具体详实的检验信息系统技术方案，方案内容包括但不仅限于检验信息系统全流程管理、系统功能模块详细描述、质控管理、统计分析、微生物全流程管理、标本库管理、检验知识库管理、耗材管理、设备管理、人员管理、文档管理等。</w:t>
      </w:r>
    </w:p>
    <w:p w14:paraId="049EB5BD">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highlight w:val="none"/>
        </w:rPr>
      </w:pPr>
      <w:r>
        <w:rPr>
          <w:rStyle w:val="21"/>
          <w:rFonts w:hint="default" w:ascii="Times New Roman" w:hAnsi="Times New Roman" w:eastAsia="宋体" w:cs="Times New Roman"/>
          <w:b w:val="0"/>
          <w:color w:val="auto"/>
          <w:spacing w:val="7"/>
          <w:kern w:val="2"/>
          <w:sz w:val="24"/>
          <w:szCs w:val="22"/>
          <w:highlight w:val="none"/>
          <w:lang w:val="en-US" w:eastAsia="zh-CN" w:bidi="ar-SA"/>
        </w:rPr>
        <w:t>方案内容完整且有实质性意义的得8分；方案内有部分内容缺失或部分内容无实质性意义得5分；方案内容简略且基本无实际意义得2分，不提供不得分。</w:t>
      </w:r>
      <w:r>
        <w:rPr>
          <w:rStyle w:val="21"/>
          <w:rFonts w:hint="default" w:ascii="Times New Roman" w:hAnsi="Times New Roman" w:eastAsia="宋体" w:cs="Times New Roman"/>
          <w:b/>
          <w:bCs/>
          <w:color w:val="auto"/>
          <w:spacing w:val="7"/>
          <w:kern w:val="2"/>
          <w:sz w:val="24"/>
          <w:szCs w:val="22"/>
          <w:highlight w:val="none"/>
          <w:lang w:val="en-US" w:eastAsia="zh-CN" w:bidi="ar-SA"/>
        </w:rPr>
        <w:t>【0/2/5/8】</w:t>
      </w:r>
    </w:p>
    <w:p w14:paraId="627B29A4">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szCs w:val="22"/>
          <w:highlight w:val="none"/>
          <w:lang w:val="en-US" w:eastAsia="zh-CN"/>
        </w:rPr>
      </w:pPr>
      <w:r>
        <w:rPr>
          <w:rStyle w:val="21"/>
          <w:rFonts w:hint="default" w:ascii="Times New Roman" w:hAnsi="Times New Roman" w:eastAsia="宋体" w:cs="Times New Roman"/>
          <w:b/>
          <w:bCs/>
          <w:color w:val="auto"/>
          <w:spacing w:val="7"/>
          <w:kern w:val="2"/>
          <w:sz w:val="24"/>
          <w:szCs w:val="22"/>
          <w:highlight w:val="none"/>
          <w:lang w:val="en-US" w:eastAsia="zh-CN" w:bidi="ar-SA"/>
        </w:rPr>
        <w:t>3</w:t>
      </w:r>
      <w:r>
        <w:rPr>
          <w:rStyle w:val="21"/>
          <w:rFonts w:hint="eastAsia" w:ascii="Times New Roman" w:hAnsi="Times New Roman" w:eastAsia="宋体" w:cs="Times New Roman"/>
          <w:b/>
          <w:bCs/>
          <w:color w:val="auto"/>
          <w:spacing w:val="7"/>
          <w:kern w:val="2"/>
          <w:sz w:val="24"/>
          <w:szCs w:val="22"/>
          <w:highlight w:val="none"/>
          <w:lang w:val="en-US" w:eastAsia="zh-CN" w:bidi="ar-SA"/>
        </w:rPr>
        <w:t>.</w:t>
      </w:r>
      <w:r>
        <w:rPr>
          <w:rStyle w:val="21"/>
          <w:rFonts w:hint="default" w:ascii="Times New Roman" w:hAnsi="Times New Roman" w:eastAsia="宋体" w:cs="Times New Roman"/>
          <w:b/>
          <w:bCs/>
          <w:color w:val="auto"/>
          <w:spacing w:val="7"/>
          <w:kern w:val="2"/>
          <w:sz w:val="24"/>
          <w:szCs w:val="22"/>
          <w:highlight w:val="none"/>
          <w:lang w:val="en-US" w:eastAsia="zh-CN" w:bidi="ar-SA"/>
        </w:rPr>
        <w:t>2输血质量管理系统技术方案</w:t>
      </w:r>
      <w:r>
        <w:rPr>
          <w:rStyle w:val="21"/>
          <w:rFonts w:hint="eastAsia" w:ascii="Times New Roman" w:hAnsi="Times New Roman" w:eastAsia="宋体" w:cs="Times New Roman"/>
          <w:b/>
          <w:bCs/>
          <w:color w:val="auto"/>
          <w:spacing w:val="7"/>
          <w:kern w:val="2"/>
          <w:sz w:val="24"/>
          <w:szCs w:val="22"/>
          <w:highlight w:val="none"/>
          <w:lang w:val="en-US" w:eastAsia="zh-CN" w:bidi="ar-SA"/>
        </w:rPr>
        <w:t>8分</w:t>
      </w:r>
    </w:p>
    <w:p w14:paraId="6F5B40D4">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szCs w:val="22"/>
          <w:highlight w:val="none"/>
          <w:lang w:val="en-US" w:eastAsia="zh-CN"/>
        </w:rPr>
      </w:pPr>
      <w:r>
        <w:rPr>
          <w:rStyle w:val="21"/>
          <w:rFonts w:hint="default" w:ascii="Times New Roman" w:hAnsi="Times New Roman" w:eastAsia="宋体" w:cs="Times New Roman"/>
          <w:b w:val="0"/>
          <w:color w:val="auto"/>
          <w:spacing w:val="7"/>
          <w:kern w:val="2"/>
          <w:sz w:val="24"/>
          <w:szCs w:val="22"/>
          <w:highlight w:val="none"/>
          <w:lang w:val="en-US" w:eastAsia="zh-CN" w:bidi="ar-SA"/>
        </w:rPr>
        <w:t>投标人应根据招标文件要求提供具体详实的输血质量管理系统技术方案，方案内容包括但不仅限于输血全闭环管理、智能用血评估和评价、输血质量管理功能详细描述、单病种质量管理、输血不良反应处置、用血评价统计分析、闭环消息通知管理等。</w:t>
      </w:r>
    </w:p>
    <w:p w14:paraId="69215937">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szCs w:val="22"/>
          <w:highlight w:val="none"/>
          <w:lang w:val="en-US" w:eastAsia="zh-CN"/>
        </w:rPr>
      </w:pPr>
      <w:r>
        <w:rPr>
          <w:rStyle w:val="21"/>
          <w:rFonts w:hint="default" w:ascii="Times New Roman" w:hAnsi="Times New Roman" w:eastAsia="宋体" w:cs="Times New Roman"/>
          <w:b w:val="0"/>
          <w:color w:val="auto"/>
          <w:spacing w:val="7"/>
          <w:kern w:val="2"/>
          <w:sz w:val="24"/>
          <w:szCs w:val="22"/>
          <w:highlight w:val="none"/>
          <w:lang w:val="en-US" w:eastAsia="zh-CN" w:bidi="ar-SA"/>
        </w:rPr>
        <w:t>方案内容完整且有实质性意义的得8分；方案内有部分内容缺失或部分内容无实质性意义得5分；方案内容简略且基本无实际意义得2分；不提供不得分。</w:t>
      </w:r>
      <w:r>
        <w:rPr>
          <w:rStyle w:val="21"/>
          <w:rFonts w:hint="default" w:ascii="Times New Roman" w:hAnsi="Times New Roman" w:eastAsia="宋体" w:cs="Times New Roman"/>
          <w:b/>
          <w:bCs/>
          <w:color w:val="auto"/>
          <w:spacing w:val="7"/>
          <w:kern w:val="2"/>
          <w:sz w:val="24"/>
          <w:szCs w:val="22"/>
          <w:highlight w:val="none"/>
          <w:lang w:val="en-US" w:eastAsia="zh-CN" w:bidi="ar-SA"/>
        </w:rPr>
        <w:t>【0/2/5/8】</w:t>
      </w:r>
    </w:p>
    <w:p w14:paraId="14E8D23A">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highlight w:val="none"/>
          <w:lang w:val="en-US" w:eastAsia="zh-CN"/>
        </w:rPr>
      </w:pPr>
      <w:r>
        <w:rPr>
          <w:rStyle w:val="21"/>
          <w:rFonts w:hint="eastAsia" w:ascii="Times New Roman" w:hAnsi="Times New Roman" w:eastAsia="宋体" w:cs="Times New Roman"/>
          <w:b/>
          <w:bCs/>
          <w:color w:val="auto"/>
          <w:spacing w:val="7"/>
          <w:kern w:val="2"/>
          <w:sz w:val="24"/>
          <w:szCs w:val="22"/>
          <w:highlight w:val="none"/>
          <w:lang w:val="en-US" w:eastAsia="zh-CN" w:bidi="ar-SA"/>
        </w:rPr>
        <w:t>3.3区域检验平台技术方案8分</w:t>
      </w:r>
    </w:p>
    <w:p w14:paraId="4C1816E7">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val="0"/>
          <w:color w:val="auto"/>
          <w:spacing w:val="7"/>
          <w:sz w:val="24"/>
          <w:szCs w:val="22"/>
          <w:highlight w:val="none"/>
          <w:lang w:val="en-US" w:eastAsia="zh-CN"/>
        </w:rPr>
      </w:pPr>
      <w:r>
        <w:rPr>
          <w:rStyle w:val="21"/>
          <w:rFonts w:hint="default" w:ascii="Times New Roman" w:hAnsi="Times New Roman" w:eastAsia="宋体" w:cs="Times New Roman"/>
          <w:b w:val="0"/>
          <w:color w:val="auto"/>
          <w:spacing w:val="7"/>
          <w:kern w:val="2"/>
          <w:sz w:val="24"/>
          <w:szCs w:val="22"/>
          <w:highlight w:val="none"/>
          <w:lang w:val="en-US" w:eastAsia="zh-CN" w:bidi="ar-SA"/>
        </w:rPr>
        <w:t>投标人应根据招标文件要求提供具体详实的区域检验平台技术方案，方案内容包括但不限于平台数据管理、平台标本条码管理、平台检验申请单管理、平台危急值管理、平台质控数据管理、平台试剂耗材管理、平台财务结算管理、平台数据共享管理、平台数据交换管理、平台标本TAT统计分析、平台数据统计及分析、平台安全权限管理、操作日志管理、智能数据分析系统等。</w:t>
      </w:r>
    </w:p>
    <w:p w14:paraId="2F12C519">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szCs w:val="22"/>
          <w:highlight w:val="none"/>
          <w:lang w:val="en-US" w:eastAsia="zh-CN"/>
        </w:rPr>
      </w:pPr>
      <w:r>
        <w:rPr>
          <w:rStyle w:val="21"/>
          <w:rFonts w:hint="default" w:ascii="Times New Roman" w:hAnsi="Times New Roman" w:eastAsia="宋体" w:cs="Times New Roman"/>
          <w:b w:val="0"/>
          <w:color w:val="auto"/>
          <w:spacing w:val="7"/>
          <w:kern w:val="2"/>
          <w:sz w:val="24"/>
          <w:szCs w:val="22"/>
          <w:highlight w:val="none"/>
          <w:lang w:val="en-US" w:eastAsia="zh-CN" w:bidi="ar-SA"/>
        </w:rPr>
        <w:t>方案内容完整且有实质性意义的得8分；方案内有部分内容缺失或部分内容无实质性意义得5分；方案内容简略且基本无实际意义得2分；不提供不得分。</w:t>
      </w:r>
      <w:r>
        <w:rPr>
          <w:rStyle w:val="21"/>
          <w:rFonts w:hint="default" w:ascii="Times New Roman" w:hAnsi="Times New Roman" w:eastAsia="宋体" w:cs="Times New Roman"/>
          <w:b/>
          <w:bCs/>
          <w:color w:val="auto"/>
          <w:spacing w:val="7"/>
          <w:kern w:val="2"/>
          <w:sz w:val="24"/>
          <w:szCs w:val="22"/>
          <w:highlight w:val="none"/>
          <w:lang w:val="en-US" w:eastAsia="zh-CN" w:bidi="ar-SA"/>
        </w:rPr>
        <w:t>【0/2/5/8】</w:t>
      </w:r>
    </w:p>
    <w:p w14:paraId="08BDF2AE">
      <w:pPr>
        <w:pStyle w:val="64"/>
        <w:kinsoku/>
        <w:wordWrap/>
        <w:overflowPunct/>
        <w:topLinePunct w:val="0"/>
        <w:autoSpaceDE/>
        <w:autoSpaceDN/>
        <w:bidi w:val="0"/>
        <w:adjustRightInd/>
        <w:spacing w:line="300" w:lineRule="auto"/>
        <w:ind w:firstLine="500"/>
        <w:textAlignment w:val="auto"/>
        <w:outlineLvl w:val="9"/>
        <w:rPr>
          <w:rStyle w:val="21"/>
          <w:rFonts w:hint="default" w:ascii="Times New Roman" w:hAnsi="Times New Roman" w:eastAsia="宋体" w:cs="Times New Roman"/>
          <w:b/>
          <w:bCs/>
          <w:color w:val="auto"/>
          <w:spacing w:val="7"/>
          <w:sz w:val="24"/>
          <w:highlight w:val="none"/>
          <w:lang w:val="en-US" w:eastAsia="zh-CN"/>
        </w:rPr>
      </w:pPr>
      <w:r>
        <w:rPr>
          <w:rStyle w:val="21"/>
          <w:rFonts w:hint="default" w:ascii="Times New Roman" w:hAnsi="Times New Roman" w:eastAsia="宋体" w:cs="Times New Roman"/>
          <w:b/>
          <w:bCs/>
          <w:color w:val="auto"/>
          <w:spacing w:val="7"/>
          <w:kern w:val="2"/>
          <w:sz w:val="24"/>
          <w:szCs w:val="22"/>
          <w:highlight w:val="none"/>
          <w:lang w:val="en-US" w:eastAsia="zh-CN" w:bidi="ar-SA"/>
        </w:rPr>
        <w:t>3.</w:t>
      </w:r>
      <w:r>
        <w:rPr>
          <w:rStyle w:val="21"/>
          <w:rFonts w:hint="eastAsia" w:ascii="Times New Roman" w:hAnsi="Times New Roman" w:eastAsia="宋体" w:cs="Times New Roman"/>
          <w:b/>
          <w:bCs/>
          <w:color w:val="auto"/>
          <w:spacing w:val="7"/>
          <w:kern w:val="2"/>
          <w:sz w:val="24"/>
          <w:szCs w:val="22"/>
          <w:highlight w:val="none"/>
          <w:lang w:val="en-US" w:eastAsia="zh-CN" w:bidi="ar-SA"/>
        </w:rPr>
        <w:t>4</w:t>
      </w:r>
      <w:r>
        <w:rPr>
          <w:rStyle w:val="21"/>
          <w:rFonts w:hint="default" w:ascii="Times New Roman" w:hAnsi="Times New Roman" w:eastAsia="宋体" w:cs="Times New Roman"/>
          <w:b/>
          <w:bCs/>
          <w:color w:val="auto"/>
          <w:spacing w:val="7"/>
          <w:kern w:val="2"/>
          <w:sz w:val="24"/>
          <w:szCs w:val="22"/>
          <w:highlight w:val="none"/>
          <w:lang w:val="en-US" w:eastAsia="zh-CN" w:bidi="ar-SA"/>
        </w:rPr>
        <w:t>实施培训</w:t>
      </w:r>
      <w:r>
        <w:rPr>
          <w:rStyle w:val="21"/>
          <w:rFonts w:hint="eastAsia" w:ascii="Times New Roman" w:hAnsi="Times New Roman" w:eastAsia="宋体" w:cs="Times New Roman"/>
          <w:b/>
          <w:bCs/>
          <w:color w:val="auto"/>
          <w:spacing w:val="7"/>
          <w:kern w:val="2"/>
          <w:sz w:val="24"/>
          <w:szCs w:val="22"/>
          <w:highlight w:val="none"/>
          <w:lang w:val="en-US" w:eastAsia="zh-CN" w:bidi="ar-SA"/>
        </w:rPr>
        <w:t>及售后服务</w:t>
      </w:r>
      <w:r>
        <w:rPr>
          <w:rStyle w:val="21"/>
          <w:rFonts w:hint="default" w:ascii="Times New Roman" w:hAnsi="Times New Roman" w:eastAsia="宋体" w:cs="Times New Roman"/>
          <w:b/>
          <w:bCs/>
          <w:color w:val="auto"/>
          <w:spacing w:val="7"/>
          <w:kern w:val="2"/>
          <w:sz w:val="24"/>
          <w:szCs w:val="22"/>
          <w:highlight w:val="none"/>
          <w:lang w:val="en-US" w:eastAsia="zh-CN" w:bidi="ar-SA"/>
        </w:rPr>
        <w:t>方案</w:t>
      </w:r>
      <w:r>
        <w:rPr>
          <w:rStyle w:val="21"/>
          <w:rFonts w:hint="eastAsia" w:ascii="Times New Roman" w:hAnsi="Times New Roman" w:eastAsia="宋体" w:cs="Times New Roman"/>
          <w:b/>
          <w:bCs/>
          <w:color w:val="auto"/>
          <w:spacing w:val="7"/>
          <w:kern w:val="2"/>
          <w:sz w:val="24"/>
          <w:szCs w:val="22"/>
          <w:highlight w:val="none"/>
          <w:lang w:val="en-US" w:eastAsia="zh-CN" w:bidi="ar-SA"/>
        </w:rPr>
        <w:t>4分</w:t>
      </w:r>
    </w:p>
    <w:p w14:paraId="58A0F500">
      <w:pPr>
        <w:widowControl/>
        <w:kinsoku/>
        <w:wordWrap/>
        <w:overflowPunct/>
        <w:topLinePunct w:val="0"/>
        <w:autoSpaceDE/>
        <w:autoSpaceDN/>
        <w:bidi w:val="0"/>
        <w:adjustRightInd/>
        <w:spacing w:line="300" w:lineRule="auto"/>
        <w:ind w:firstLine="508" w:firstLineChars="200"/>
        <w:jc w:val="left"/>
        <w:textAlignment w:val="auto"/>
        <w:rPr>
          <w:rStyle w:val="21"/>
          <w:rFonts w:hint="default" w:ascii="Times New Roman" w:hAnsi="Times New Roman" w:eastAsia="宋体" w:cs="Times New Roman"/>
          <w:b/>
          <w:bCs/>
          <w:color w:val="auto"/>
          <w:spacing w:val="7"/>
          <w:sz w:val="24"/>
          <w:highlight w:val="none"/>
        </w:rPr>
      </w:pPr>
      <w:r>
        <w:rPr>
          <w:rStyle w:val="21"/>
          <w:rFonts w:hint="default" w:ascii="Times New Roman" w:hAnsi="Times New Roman" w:eastAsia="宋体" w:cs="Times New Roman"/>
          <w:b w:val="0"/>
          <w:color w:val="auto"/>
          <w:spacing w:val="7"/>
          <w:sz w:val="24"/>
          <w:highlight w:val="none"/>
        </w:rPr>
        <w:t>投标人根据招标文件要求提供具体详实的实施培训及售后服务方案，方案内容包括但不仅限于项目建设周期、项目建设管理、项目实施计划进度安排及项目测试等。培训包含：培训要求、培训目的、培训对象、培训内容、培训考核等。售后服务包括应急方案、售后服务内容、售后服务体系等。方案内容完整且有实质性意义的得4分；方案内有部分内容缺失或部分内容无实质性意义得2分；方案内容简略且基本无实际意义得1分，不提供不得分。</w:t>
      </w:r>
      <w:r>
        <w:rPr>
          <w:rStyle w:val="21"/>
          <w:rFonts w:hint="default" w:ascii="Times New Roman" w:hAnsi="Times New Roman" w:eastAsia="宋体" w:cs="Times New Roman"/>
          <w:b/>
          <w:bCs/>
          <w:color w:val="auto"/>
          <w:spacing w:val="7"/>
          <w:sz w:val="24"/>
          <w:highlight w:val="none"/>
        </w:rPr>
        <w:t>【0/1/2/4】</w:t>
      </w:r>
    </w:p>
    <w:p w14:paraId="776FF0E6">
      <w:pPr>
        <w:widowControl/>
        <w:kinsoku/>
        <w:wordWrap/>
        <w:overflowPunct/>
        <w:topLinePunct w:val="0"/>
        <w:autoSpaceDE/>
        <w:autoSpaceDN/>
        <w:bidi w:val="0"/>
        <w:adjustRightInd/>
        <w:spacing w:line="300" w:lineRule="auto"/>
        <w:ind w:firstLine="510" w:firstLineChars="2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Fonts w:hint="eastAsia" w:ascii="Times New Roman" w:hAnsi="Times New Roman" w:eastAsia="宋体" w:cs="Times New Roman"/>
          <w:b/>
          <w:bCs/>
          <w:color w:val="auto"/>
          <w:spacing w:val="7"/>
          <w:sz w:val="24"/>
          <w:szCs w:val="24"/>
          <w:highlight w:val="none"/>
          <w:lang w:val="en-US" w:eastAsia="zh-CN"/>
        </w:rPr>
        <w:t>．</w:t>
      </w:r>
      <w:r>
        <w:rPr>
          <w:rFonts w:hint="default" w:ascii="Times New Roman" w:hAnsi="Times New Roman" w:eastAsia="宋体" w:cs="Times New Roman"/>
          <w:b/>
          <w:color w:val="auto"/>
          <w:spacing w:val="7"/>
          <w:sz w:val="24"/>
          <w:szCs w:val="24"/>
          <w:highlight w:val="none"/>
          <w:lang w:val="en-US" w:eastAsia="zh-CN"/>
        </w:rPr>
        <w:t xml:space="preserve">履约能力分 </w:t>
      </w:r>
      <w:r>
        <w:rPr>
          <w:rFonts w:hint="eastAsia" w:ascii="Times New Roman" w:hAnsi="Times New Roman" w:eastAsia="宋体" w:cs="Times New Roman"/>
          <w:b/>
          <w:color w:val="auto"/>
          <w:spacing w:val="7"/>
          <w:sz w:val="24"/>
          <w:szCs w:val="24"/>
          <w:highlight w:val="none"/>
          <w:lang w:val="en-US" w:eastAsia="zh-CN"/>
        </w:rPr>
        <w:t>1</w:t>
      </w:r>
      <w:r>
        <w:rPr>
          <w:rFonts w:hint="eastAsia" w:ascii="Times New Roman" w:hAnsi="Times New Roman" w:cs="Times New Roman"/>
          <w:b/>
          <w:color w:val="auto"/>
          <w:spacing w:val="7"/>
          <w:sz w:val="24"/>
          <w:szCs w:val="24"/>
          <w:highlight w:val="none"/>
          <w:lang w:val="en-US" w:eastAsia="zh-CN"/>
        </w:rPr>
        <w:t>4</w:t>
      </w:r>
      <w:r>
        <w:rPr>
          <w:rFonts w:hint="default" w:ascii="Times New Roman" w:hAnsi="Times New Roman" w:eastAsia="宋体" w:cs="Times New Roman"/>
          <w:b/>
          <w:color w:val="auto"/>
          <w:spacing w:val="7"/>
          <w:sz w:val="24"/>
          <w:szCs w:val="24"/>
          <w:highlight w:val="none"/>
          <w:lang w:val="en-US" w:eastAsia="zh-CN"/>
        </w:rPr>
        <w:t xml:space="preserve"> 分</w:t>
      </w:r>
    </w:p>
    <w:p w14:paraId="543AD671">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rPr>
        <w:t>4.1类似项目业绩 3分</w:t>
      </w:r>
    </w:p>
    <w:p w14:paraId="7CCB3B0E">
      <w:pPr>
        <w:keepNext w:val="0"/>
        <w:keepLines w:val="0"/>
        <w:pageBreakBefore w:val="0"/>
        <w:numPr>
          <w:ilvl w:val="0"/>
          <w:numId w:val="0"/>
        </w:numPr>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eastAsia="宋体" w:cs="Times New Roman"/>
          <w:b/>
          <w:bCs w:val="0"/>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lang w:eastAsia="zh-CN"/>
        </w:rPr>
        <w:t>投标人</w:t>
      </w:r>
      <w:r>
        <w:rPr>
          <w:rFonts w:hint="eastAsia" w:ascii="Times New Roman" w:hAnsi="Times New Roman" w:eastAsia="宋体" w:cs="Times New Roman"/>
          <w:color w:val="auto"/>
          <w:kern w:val="0"/>
          <w:sz w:val="24"/>
          <w:szCs w:val="24"/>
          <w:highlight w:val="none"/>
          <w:lang w:val="en-US" w:eastAsia="zh-CN"/>
        </w:rPr>
        <w:t>所投产品</w:t>
      </w:r>
      <w:r>
        <w:rPr>
          <w:rFonts w:hint="default" w:ascii="Times New Roman" w:hAnsi="Times New Roman" w:eastAsia="宋体" w:cs="Times New Roman"/>
          <w:color w:val="auto"/>
          <w:kern w:val="0"/>
          <w:sz w:val="24"/>
          <w:szCs w:val="24"/>
          <w:highlight w:val="none"/>
          <w:lang w:val="en-US" w:eastAsia="zh-CN"/>
        </w:rPr>
        <w:t>具有</w:t>
      </w:r>
      <w:r>
        <w:rPr>
          <w:rFonts w:hint="default" w:ascii="Times New Roman" w:hAnsi="Times New Roman" w:eastAsia="宋体" w:cs="Times New Roman"/>
          <w:color w:val="auto"/>
          <w:kern w:val="0"/>
          <w:sz w:val="24"/>
          <w:szCs w:val="24"/>
          <w:highlight w:val="none"/>
        </w:rPr>
        <w:t>20</w:t>
      </w:r>
      <w:r>
        <w:rPr>
          <w:rFonts w:hint="default" w:ascii="Times New Roman" w:hAnsi="Times New Roman" w:eastAsia="宋体" w:cs="Times New Roman"/>
          <w:color w:val="auto"/>
          <w:kern w:val="0"/>
          <w:sz w:val="24"/>
          <w:szCs w:val="24"/>
          <w:highlight w:val="none"/>
          <w:lang w:val="en-US" w:eastAsia="zh-CN"/>
        </w:rPr>
        <w:t>2</w:t>
      </w:r>
      <w:r>
        <w:rPr>
          <w:rFonts w:hint="eastAsia"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年</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月1日以来</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以合同签订时间为准</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承接</w:t>
      </w:r>
      <w:r>
        <w:rPr>
          <w:rFonts w:hint="default" w:ascii="Times New Roman" w:hAnsi="Times New Roman" w:eastAsia="宋体" w:cs="Times New Roman"/>
          <w:color w:val="auto"/>
          <w:kern w:val="0"/>
          <w:sz w:val="24"/>
          <w:szCs w:val="24"/>
          <w:highlight w:val="none"/>
          <w:lang w:val="en-US" w:eastAsia="zh-CN"/>
        </w:rPr>
        <w:t>的类似项目</w:t>
      </w:r>
      <w:r>
        <w:rPr>
          <w:rFonts w:hint="default" w:ascii="Times New Roman" w:hAnsi="Times New Roman" w:eastAsia="宋体" w:cs="Times New Roman"/>
          <w:color w:val="auto"/>
          <w:kern w:val="0"/>
          <w:sz w:val="24"/>
          <w:szCs w:val="24"/>
          <w:highlight w:val="none"/>
        </w:rPr>
        <w:t>业绩</w:t>
      </w:r>
      <w:r>
        <w:rPr>
          <w:rFonts w:hint="default" w:ascii="Times New Roman" w:hAnsi="Times New Roman" w:eastAsia="宋体" w:cs="Times New Roman"/>
          <w:color w:val="auto"/>
          <w:kern w:val="0"/>
          <w:sz w:val="24"/>
          <w:szCs w:val="24"/>
          <w:highlight w:val="none"/>
          <w:lang w:eastAsia="zh-CN"/>
        </w:rPr>
        <w:t>的</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每提供一个</w:t>
      </w:r>
      <w:r>
        <w:rPr>
          <w:rFonts w:hint="default" w:ascii="Times New Roman" w:hAnsi="Times New Roman" w:eastAsia="宋体" w:cs="Times New Roman"/>
          <w:color w:val="auto"/>
          <w:kern w:val="0"/>
          <w:sz w:val="24"/>
          <w:szCs w:val="24"/>
          <w:highlight w:val="none"/>
        </w:rPr>
        <w:t>得</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分，</w:t>
      </w:r>
      <w:r>
        <w:rPr>
          <w:rFonts w:hint="default" w:ascii="Times New Roman" w:hAnsi="Times New Roman" w:eastAsia="宋体" w:cs="Times New Roman"/>
          <w:color w:val="auto"/>
          <w:kern w:val="0"/>
          <w:sz w:val="24"/>
          <w:szCs w:val="24"/>
          <w:highlight w:val="none"/>
          <w:lang w:val="en-US" w:eastAsia="zh-CN"/>
        </w:rPr>
        <w:t>本项</w:t>
      </w:r>
      <w:r>
        <w:rPr>
          <w:rFonts w:hint="default" w:ascii="Times New Roman" w:hAnsi="Times New Roman" w:eastAsia="宋体" w:cs="Times New Roman"/>
          <w:color w:val="auto"/>
          <w:kern w:val="0"/>
          <w:sz w:val="24"/>
          <w:szCs w:val="24"/>
          <w:highlight w:val="none"/>
        </w:rPr>
        <w:t>最多得</w:t>
      </w: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分</w:t>
      </w:r>
      <w:r>
        <w:rPr>
          <w:rFonts w:hint="default" w:ascii="Times New Roman" w:hAnsi="Times New Roman" w:eastAsia="宋体" w:cs="Times New Roman"/>
          <w:b/>
          <w:bCs/>
          <w:color w:val="auto"/>
          <w:kern w:val="0"/>
          <w:sz w:val="24"/>
          <w:szCs w:val="24"/>
          <w:highlight w:val="none"/>
        </w:rPr>
        <w:t>（请在投标文件中提供合同扫描件，合同中须反映出相关内容，如合同中不能反映，须提供其他材料予以佐证，不提供不得分）。</w:t>
      </w:r>
      <w:r>
        <w:rPr>
          <w:rFonts w:hint="default" w:ascii="Times New Roman" w:hAnsi="Times New Roman" w:eastAsia="宋体" w:cs="Times New Roman"/>
          <w:b/>
          <w:bCs w:val="0"/>
          <w:color w:val="auto"/>
          <w:kern w:val="0"/>
          <w:sz w:val="24"/>
          <w:szCs w:val="24"/>
          <w:highlight w:val="none"/>
        </w:rPr>
        <w:t>【0</w:t>
      </w:r>
      <w:r>
        <w:rPr>
          <w:rFonts w:hint="default" w:ascii="Times New Roman" w:hAnsi="Times New Roman" w:eastAsia="宋体" w:cs="Times New Roman"/>
          <w:b/>
          <w:bCs w:val="0"/>
          <w:color w:val="auto"/>
          <w:kern w:val="0"/>
          <w:sz w:val="24"/>
          <w:szCs w:val="24"/>
          <w:highlight w:val="none"/>
          <w:lang w:val="en-US" w:eastAsia="zh-CN"/>
        </w:rPr>
        <w:t>/1/2/3</w:t>
      </w:r>
      <w:r>
        <w:rPr>
          <w:rFonts w:hint="default" w:ascii="Times New Roman" w:hAnsi="Times New Roman" w:eastAsia="宋体" w:cs="Times New Roman"/>
          <w:b/>
          <w:bCs w:val="0"/>
          <w:color w:val="auto"/>
          <w:kern w:val="0"/>
          <w:sz w:val="24"/>
          <w:szCs w:val="24"/>
          <w:highlight w:val="none"/>
        </w:rPr>
        <w:t>】</w:t>
      </w:r>
    </w:p>
    <w:p w14:paraId="03BB6E3F">
      <w:pPr>
        <w:keepNext w:val="0"/>
        <w:keepLines w:val="0"/>
        <w:pageBreakBefore w:val="0"/>
        <w:numPr>
          <w:ilvl w:val="0"/>
          <w:numId w:val="0"/>
        </w:numPr>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eastAsia="宋体" w:cs="Times New Roman"/>
          <w:b/>
          <w:bCs w:val="0"/>
          <w:color w:val="auto"/>
          <w:kern w:val="0"/>
          <w:sz w:val="24"/>
          <w:szCs w:val="24"/>
          <w:highlight w:val="none"/>
          <w:lang w:val="en-US" w:eastAsia="zh-CN"/>
        </w:rPr>
      </w:pPr>
      <w:r>
        <w:rPr>
          <w:rFonts w:hint="default" w:ascii="Times New Roman" w:hAnsi="Times New Roman" w:eastAsia="宋体" w:cs="Times New Roman"/>
          <w:b/>
          <w:bCs w:val="0"/>
          <w:color w:val="auto"/>
          <w:kern w:val="0"/>
          <w:sz w:val="24"/>
          <w:szCs w:val="24"/>
          <w:highlight w:val="none"/>
          <w:lang w:val="en-US" w:eastAsia="zh-CN"/>
        </w:rPr>
        <w:t xml:space="preserve">4.2 实际案例 </w:t>
      </w:r>
      <w:r>
        <w:rPr>
          <w:rFonts w:hint="eastAsia" w:ascii="Times New Roman" w:hAnsi="Times New Roman" w:eastAsia="宋体" w:cs="Times New Roman"/>
          <w:b/>
          <w:bCs w:val="0"/>
          <w:color w:val="auto"/>
          <w:kern w:val="0"/>
          <w:sz w:val="24"/>
          <w:szCs w:val="24"/>
          <w:highlight w:val="none"/>
          <w:lang w:val="en-US" w:eastAsia="zh-CN"/>
        </w:rPr>
        <w:t>5</w:t>
      </w:r>
      <w:r>
        <w:rPr>
          <w:rFonts w:hint="default" w:ascii="Times New Roman" w:hAnsi="Times New Roman" w:eastAsia="宋体" w:cs="Times New Roman"/>
          <w:b/>
          <w:bCs w:val="0"/>
          <w:color w:val="auto"/>
          <w:kern w:val="0"/>
          <w:sz w:val="24"/>
          <w:szCs w:val="24"/>
          <w:highlight w:val="none"/>
          <w:lang w:val="en-US" w:eastAsia="zh-CN"/>
        </w:rPr>
        <w:t>分</w:t>
      </w:r>
    </w:p>
    <w:p w14:paraId="0151A8E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b w:val="0"/>
          <w:bCs w:val="0"/>
          <w:color w:val="auto"/>
          <w:spacing w:val="7"/>
          <w:sz w:val="24"/>
          <w:szCs w:val="24"/>
          <w:highlight w:val="none"/>
          <w:lang w:val="en-US" w:eastAsia="zh-CN"/>
        </w:rPr>
        <w:t>（</w:t>
      </w:r>
      <w:r>
        <w:rPr>
          <w:rFonts w:hint="eastAsia" w:ascii="Times New Roman" w:hAnsi="Times New Roman" w:eastAsia="宋体" w:cs="Times New Roman"/>
          <w:b w:val="0"/>
          <w:bCs w:val="0"/>
          <w:color w:val="auto"/>
          <w:spacing w:val="7"/>
          <w:sz w:val="24"/>
          <w:szCs w:val="24"/>
          <w:highlight w:val="none"/>
          <w:lang w:val="en-US" w:eastAsia="zh-CN"/>
        </w:rPr>
        <w:t>1</w:t>
      </w:r>
      <w:r>
        <w:rPr>
          <w:rFonts w:hint="default" w:ascii="Times New Roman" w:hAnsi="Times New Roman" w:eastAsia="宋体" w:cs="Times New Roman"/>
          <w:b w:val="0"/>
          <w:bCs w:val="0"/>
          <w:color w:val="auto"/>
          <w:spacing w:val="7"/>
          <w:sz w:val="24"/>
          <w:szCs w:val="24"/>
          <w:highlight w:val="none"/>
          <w:lang w:val="en-US" w:eastAsia="zh-CN"/>
        </w:rPr>
        <w:t>）投标人所投产品通过电子病历六级及以上评审案例的，每提供一个得</w:t>
      </w:r>
      <w:r>
        <w:rPr>
          <w:rFonts w:hint="eastAsia" w:ascii="Times New Roman" w:hAnsi="Times New Roman" w:eastAsia="宋体" w:cs="Times New Roman"/>
          <w:b w:val="0"/>
          <w:bCs w:val="0"/>
          <w:color w:val="auto"/>
          <w:spacing w:val="7"/>
          <w:sz w:val="24"/>
          <w:szCs w:val="24"/>
          <w:highlight w:val="none"/>
          <w:lang w:val="en-US" w:eastAsia="zh-CN"/>
        </w:rPr>
        <w:t>1</w:t>
      </w:r>
      <w:r>
        <w:rPr>
          <w:rFonts w:hint="default" w:ascii="Times New Roman" w:hAnsi="Times New Roman" w:eastAsia="宋体" w:cs="Times New Roman"/>
          <w:b w:val="0"/>
          <w:bCs w:val="0"/>
          <w:color w:val="auto"/>
          <w:spacing w:val="7"/>
          <w:sz w:val="24"/>
          <w:szCs w:val="24"/>
          <w:highlight w:val="none"/>
          <w:lang w:val="en-US" w:eastAsia="zh-CN"/>
        </w:rPr>
        <w:t>分，本项最多得</w:t>
      </w:r>
      <w:r>
        <w:rPr>
          <w:rFonts w:hint="eastAsia" w:ascii="Times New Roman" w:hAnsi="Times New Roman" w:eastAsia="宋体" w:cs="Times New Roman"/>
          <w:b w:val="0"/>
          <w:bCs w:val="0"/>
          <w:color w:val="auto"/>
          <w:spacing w:val="7"/>
          <w:sz w:val="24"/>
          <w:szCs w:val="24"/>
          <w:highlight w:val="none"/>
          <w:lang w:val="en-US" w:eastAsia="zh-CN"/>
        </w:rPr>
        <w:t>5</w:t>
      </w:r>
      <w:r>
        <w:rPr>
          <w:rFonts w:hint="default" w:ascii="Times New Roman" w:hAnsi="Times New Roman" w:eastAsia="宋体" w:cs="Times New Roman"/>
          <w:b w:val="0"/>
          <w:bCs w:val="0"/>
          <w:color w:val="auto"/>
          <w:spacing w:val="7"/>
          <w:sz w:val="24"/>
          <w:szCs w:val="24"/>
          <w:highlight w:val="none"/>
          <w:lang w:val="en-US" w:eastAsia="zh-CN"/>
        </w:rPr>
        <w:t>分</w:t>
      </w:r>
      <w:r>
        <w:rPr>
          <w:rFonts w:hint="default" w:ascii="Times New Roman" w:hAnsi="Times New Roman" w:eastAsia="宋体" w:cs="Times New Roman"/>
          <w:b/>
          <w:bCs/>
          <w:color w:val="auto"/>
          <w:spacing w:val="7"/>
          <w:sz w:val="24"/>
          <w:szCs w:val="24"/>
          <w:highlight w:val="none"/>
          <w:lang w:val="en-US" w:eastAsia="zh-CN"/>
        </w:rPr>
        <w:t>（请在投标文件中提供相关证明材料，不提供不得分）。【0/1/2/3</w:t>
      </w:r>
      <w:r>
        <w:rPr>
          <w:rFonts w:hint="eastAsia" w:ascii="Times New Roman" w:hAnsi="Times New Roman" w:eastAsia="宋体" w:cs="Times New Roman"/>
          <w:b/>
          <w:bCs/>
          <w:color w:val="auto"/>
          <w:spacing w:val="7"/>
          <w:sz w:val="24"/>
          <w:szCs w:val="24"/>
          <w:highlight w:val="none"/>
          <w:lang w:val="en-US" w:eastAsia="zh-CN"/>
        </w:rPr>
        <w:t>/4/5</w:t>
      </w:r>
      <w:r>
        <w:rPr>
          <w:rFonts w:hint="default" w:ascii="Times New Roman" w:hAnsi="Times New Roman" w:eastAsia="宋体" w:cs="Times New Roman"/>
          <w:b/>
          <w:bCs/>
          <w:color w:val="auto"/>
          <w:spacing w:val="7"/>
          <w:sz w:val="24"/>
          <w:szCs w:val="24"/>
          <w:highlight w:val="none"/>
          <w:lang w:val="en-US" w:eastAsia="zh-CN"/>
        </w:rPr>
        <w:t>】</w:t>
      </w:r>
    </w:p>
    <w:p w14:paraId="43456B5F">
      <w:pPr>
        <w:pStyle w:val="65"/>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rPr>
        <w:t xml:space="preserve">4.3 投标人资质 </w:t>
      </w:r>
      <w:r>
        <w:rPr>
          <w:rFonts w:hint="eastAsia" w:ascii="Times New Roman" w:hAnsi="Times New Roman" w:eastAsia="宋体" w:cs="Times New Roman"/>
          <w:b/>
          <w:bCs/>
          <w:color w:val="auto"/>
          <w:spacing w:val="7"/>
          <w:sz w:val="24"/>
          <w:szCs w:val="24"/>
          <w:highlight w:val="none"/>
          <w:lang w:val="en-US" w:eastAsia="zh-CN"/>
        </w:rPr>
        <w:t>6</w:t>
      </w:r>
      <w:r>
        <w:rPr>
          <w:rFonts w:hint="default" w:ascii="Times New Roman" w:hAnsi="Times New Roman" w:eastAsia="宋体" w:cs="Times New Roman"/>
          <w:b/>
          <w:bCs/>
          <w:color w:val="auto"/>
          <w:spacing w:val="7"/>
          <w:sz w:val="24"/>
          <w:szCs w:val="24"/>
          <w:highlight w:val="none"/>
          <w:lang w:val="en-US" w:eastAsia="zh-CN"/>
        </w:rPr>
        <w:t xml:space="preserve">分 </w:t>
      </w:r>
      <w:r>
        <w:rPr>
          <w:rFonts w:hint="default" w:ascii="Times New Roman" w:hAnsi="Times New Roman" w:eastAsia="宋体" w:cs="Times New Roman"/>
          <w:color w:val="auto"/>
          <w:spacing w:val="7"/>
          <w:sz w:val="24"/>
          <w:szCs w:val="24"/>
          <w:highlight w:val="none"/>
          <w:lang w:val="en-US" w:eastAsia="zh-CN"/>
        </w:rPr>
        <w:t xml:space="preserve"> </w:t>
      </w:r>
      <w:r>
        <w:rPr>
          <w:rFonts w:hint="default" w:ascii="Times New Roman" w:hAnsi="Times New Roman" w:eastAsia="宋体" w:cs="Times New Roman"/>
          <w:b/>
          <w:bCs/>
          <w:color w:val="auto"/>
          <w:spacing w:val="7"/>
          <w:sz w:val="24"/>
          <w:szCs w:val="24"/>
          <w:highlight w:val="none"/>
          <w:lang w:val="en-US" w:eastAsia="zh-CN"/>
        </w:rPr>
        <w:t xml:space="preserve"> </w:t>
      </w:r>
    </w:p>
    <w:p w14:paraId="24FE2243">
      <w:pPr>
        <w:pStyle w:val="65"/>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color w:val="auto"/>
          <w:spacing w:val="7"/>
          <w:sz w:val="24"/>
          <w:szCs w:val="24"/>
          <w:highlight w:val="none"/>
          <w:lang w:val="en-US" w:eastAsia="zh-CN"/>
        </w:rPr>
      </w:pPr>
      <w:r>
        <w:rPr>
          <w:rFonts w:hint="eastAsia" w:ascii="Times New Roman" w:hAnsi="Times New Roman" w:eastAsia="宋体" w:cs="Times New Roman"/>
          <w:color w:val="auto"/>
          <w:spacing w:val="7"/>
          <w:sz w:val="24"/>
          <w:szCs w:val="24"/>
          <w:highlight w:val="none"/>
          <w:lang w:val="en-US" w:eastAsia="zh-CN"/>
        </w:rPr>
        <w:t>（1）</w:t>
      </w:r>
      <w:r>
        <w:rPr>
          <w:rFonts w:hint="default" w:ascii="Times New Roman" w:hAnsi="Times New Roman" w:eastAsia="宋体" w:cs="Times New Roman"/>
          <w:color w:val="auto"/>
          <w:spacing w:val="7"/>
          <w:sz w:val="24"/>
          <w:szCs w:val="24"/>
          <w:highlight w:val="none"/>
          <w:lang w:val="en-US" w:eastAsia="zh-CN"/>
        </w:rPr>
        <w:t>软件著作权证书 3分</w:t>
      </w:r>
    </w:p>
    <w:p w14:paraId="782E4853">
      <w:pPr>
        <w:pStyle w:val="65"/>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投标人所投产品具有跟本项目相关的含"区域检验互认管理”、“决策云管理”、“科室数据展示”等关键字软件著作权证书的，每提供1个证书得1分，本项最多得3分</w:t>
      </w:r>
      <w:r>
        <w:rPr>
          <w:rFonts w:hint="default" w:ascii="Times New Roman" w:hAnsi="Times New Roman" w:eastAsia="宋体" w:cs="Times New Roman"/>
          <w:b/>
          <w:bCs/>
          <w:color w:val="auto"/>
          <w:spacing w:val="7"/>
          <w:sz w:val="24"/>
          <w:szCs w:val="24"/>
          <w:highlight w:val="none"/>
          <w:lang w:val="en-US" w:eastAsia="zh-CN"/>
        </w:rPr>
        <w:t>（请在投标文件中提供相关证书的复印件，不提供不得分）。【0/1/2/3】</w:t>
      </w:r>
    </w:p>
    <w:p w14:paraId="4263625B">
      <w:pPr>
        <w:kinsoku/>
        <w:wordWrap/>
        <w:overflowPunct/>
        <w:topLinePunct w:val="0"/>
        <w:autoSpaceDE/>
        <w:autoSpaceDN/>
        <w:bidi w:val="0"/>
        <w:adjustRightInd/>
        <w:spacing w:line="300" w:lineRule="auto"/>
        <w:ind w:right="-124" w:firstLine="480"/>
        <w:textAlignment w:val="auto"/>
        <w:rPr>
          <w:rFonts w:hint="default" w:ascii="Times New Roman" w:hAnsi="Times New Roman" w:eastAsia="宋体" w:cs="Times New Roman"/>
          <w:color w:val="auto"/>
          <w:spacing w:val="7"/>
          <w:sz w:val="24"/>
          <w:szCs w:val="24"/>
          <w:highlight w:val="none"/>
          <w:lang w:val="en-US" w:eastAsia="zh-CN"/>
        </w:rPr>
      </w:pPr>
      <w:r>
        <w:rPr>
          <w:rFonts w:hint="eastAsia" w:ascii="Times New Roman" w:hAnsi="Times New Roman" w:eastAsia="宋体" w:cs="Times New Roman"/>
          <w:color w:val="auto"/>
          <w:spacing w:val="7"/>
          <w:sz w:val="24"/>
          <w:szCs w:val="24"/>
          <w:highlight w:val="none"/>
          <w:lang w:val="en-US" w:eastAsia="zh-CN"/>
        </w:rPr>
        <w:t>（</w:t>
      </w:r>
      <w:r>
        <w:rPr>
          <w:rFonts w:hint="eastAsia" w:ascii="Times New Roman" w:hAnsi="Times New Roman" w:cs="Times New Roman"/>
          <w:color w:val="auto"/>
          <w:spacing w:val="7"/>
          <w:sz w:val="24"/>
          <w:szCs w:val="24"/>
          <w:highlight w:val="none"/>
          <w:lang w:val="en-US" w:eastAsia="zh-CN"/>
        </w:rPr>
        <w:t>2</w:t>
      </w:r>
      <w:r>
        <w:rPr>
          <w:rFonts w:hint="eastAsia" w:ascii="Times New Roman" w:hAnsi="Times New Roman" w:eastAsia="宋体" w:cs="Times New Roman"/>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 xml:space="preserve">技术团队专业能力 </w:t>
      </w:r>
      <w:r>
        <w:rPr>
          <w:rFonts w:hint="eastAsia" w:ascii="Times New Roman" w:hAnsi="Times New Roman" w:eastAsia="宋体" w:cs="Times New Roman"/>
          <w:color w:val="auto"/>
          <w:spacing w:val="7"/>
          <w:sz w:val="24"/>
          <w:szCs w:val="24"/>
          <w:highlight w:val="none"/>
          <w:lang w:val="en-US" w:eastAsia="zh-CN"/>
        </w:rPr>
        <w:t>3</w:t>
      </w:r>
      <w:r>
        <w:rPr>
          <w:rFonts w:hint="default" w:ascii="Times New Roman" w:hAnsi="Times New Roman" w:eastAsia="宋体" w:cs="Times New Roman"/>
          <w:color w:val="auto"/>
          <w:spacing w:val="7"/>
          <w:sz w:val="24"/>
          <w:szCs w:val="24"/>
          <w:highlight w:val="none"/>
          <w:lang w:val="en-US" w:eastAsia="zh-CN"/>
        </w:rPr>
        <w:t>分</w:t>
      </w:r>
    </w:p>
    <w:p w14:paraId="2C6EE750">
      <w:pPr>
        <w:kinsoku/>
        <w:wordWrap/>
        <w:overflowPunct/>
        <w:topLinePunct w:val="0"/>
        <w:autoSpaceDE/>
        <w:autoSpaceDN/>
        <w:bidi w:val="0"/>
        <w:adjustRightInd/>
        <w:spacing w:line="300" w:lineRule="auto"/>
        <w:ind w:right="-124" w:firstLine="480"/>
        <w:jc w:val="both"/>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投标人针对本项目拟配备的项目组成员中，具有</w:t>
      </w:r>
      <w:r>
        <w:rPr>
          <w:rFonts w:hint="eastAsia" w:ascii="Times New Roman" w:hAnsi="Times New Roman" w:eastAsia="宋体" w:cs="Times New Roman"/>
          <w:color w:val="auto"/>
          <w:spacing w:val="7"/>
          <w:sz w:val="24"/>
          <w:szCs w:val="24"/>
          <w:highlight w:val="none"/>
          <w:lang w:val="en-US" w:eastAsia="zh-CN"/>
        </w:rPr>
        <w:t>高级信息系统项目管理师证书、系统集成项目管理证书(或数据库系统工程师证书）、系统架构设                                                                                                                                                                                                                                                                                                                                                                                                                                                                                                                                                                                                                                                                                                                                                                                                                                                                                                                                                                                                                                                                                                                                                                                                                                                                                                                                                                                                                                      计证书师（或软件设计师）的</w:t>
      </w:r>
      <w:r>
        <w:rPr>
          <w:rFonts w:hint="default" w:ascii="Times New Roman" w:hAnsi="Times New Roman" w:eastAsia="宋体" w:cs="Times New Roman"/>
          <w:color w:val="auto"/>
          <w:spacing w:val="7"/>
          <w:sz w:val="24"/>
          <w:szCs w:val="24"/>
          <w:highlight w:val="none"/>
          <w:lang w:val="en-US" w:eastAsia="zh-CN"/>
        </w:rPr>
        <w:t>，每提供一个证书得1分，</w:t>
      </w:r>
      <w:r>
        <w:rPr>
          <w:rStyle w:val="21"/>
          <w:rFonts w:hint="default" w:ascii="Times New Roman" w:hAnsi="Times New Roman" w:eastAsia="宋体" w:cs="Times New Roman"/>
          <w:b w:val="0"/>
          <w:color w:val="auto"/>
          <w:spacing w:val="7"/>
          <w:kern w:val="0"/>
          <w:sz w:val="24"/>
          <w:szCs w:val="22"/>
          <w:highlight w:val="none"/>
          <w:lang w:val="en-US" w:eastAsia="zh-CN"/>
        </w:rPr>
        <w:t>本项最多得</w:t>
      </w:r>
      <w:r>
        <w:rPr>
          <w:rStyle w:val="21"/>
          <w:rFonts w:hint="eastAsia" w:ascii="Times New Roman" w:hAnsi="Times New Roman" w:eastAsia="宋体" w:cs="Times New Roman"/>
          <w:b w:val="0"/>
          <w:color w:val="auto"/>
          <w:spacing w:val="7"/>
          <w:kern w:val="0"/>
          <w:sz w:val="24"/>
          <w:szCs w:val="22"/>
          <w:highlight w:val="none"/>
          <w:lang w:val="en-US" w:eastAsia="zh-CN"/>
        </w:rPr>
        <w:t>3</w:t>
      </w:r>
      <w:r>
        <w:rPr>
          <w:rStyle w:val="21"/>
          <w:rFonts w:hint="default" w:ascii="Times New Roman" w:hAnsi="Times New Roman" w:eastAsia="宋体" w:cs="Times New Roman"/>
          <w:b w:val="0"/>
          <w:color w:val="auto"/>
          <w:spacing w:val="7"/>
          <w:kern w:val="0"/>
          <w:sz w:val="24"/>
          <w:szCs w:val="22"/>
          <w:highlight w:val="none"/>
          <w:lang w:val="en-US" w:eastAsia="zh-CN"/>
        </w:rPr>
        <w:t>分。</w:t>
      </w:r>
      <w:r>
        <w:rPr>
          <w:rFonts w:hint="default" w:ascii="Times New Roman" w:hAnsi="Times New Roman" w:eastAsia="宋体" w:cs="Times New Roman"/>
          <w:b/>
          <w:bCs/>
          <w:color w:val="auto"/>
          <w:spacing w:val="7"/>
          <w:sz w:val="24"/>
          <w:szCs w:val="24"/>
          <w:highlight w:val="none"/>
          <w:lang w:val="en-US" w:eastAsia="zh-CN"/>
        </w:rPr>
        <w:t>【0/1/2/3】</w:t>
      </w:r>
    </w:p>
    <w:p w14:paraId="1AF518B4">
      <w:pPr>
        <w:kinsoku/>
        <w:wordWrap/>
        <w:overflowPunct/>
        <w:topLinePunct w:val="0"/>
        <w:autoSpaceDE/>
        <w:autoSpaceDN/>
        <w:bidi w:val="0"/>
        <w:adjustRightInd/>
        <w:spacing w:line="300" w:lineRule="auto"/>
        <w:ind w:right="-124"/>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b/>
          <w:bCs/>
          <w:color w:val="auto"/>
          <w:sz w:val="24"/>
          <w:highlight w:val="none"/>
        </w:rPr>
        <w:t>（请在投标文件中提供相关证明材料，</w:t>
      </w:r>
      <w:r>
        <w:rPr>
          <w:rFonts w:hint="default" w:ascii="Times New Roman" w:hAnsi="Times New Roman" w:eastAsia="宋体" w:cs="Times New Roman"/>
          <w:b/>
          <w:bCs/>
          <w:color w:val="auto"/>
          <w:sz w:val="24"/>
          <w:highlight w:val="none"/>
          <w:lang w:val="en-US" w:eastAsia="zh-CN"/>
        </w:rPr>
        <w:t>并提供投标人为其缴纳的社保证明，</w:t>
      </w:r>
      <w:r>
        <w:rPr>
          <w:rFonts w:hint="default" w:ascii="Times New Roman" w:hAnsi="Times New Roman" w:eastAsia="宋体" w:cs="Times New Roman"/>
          <w:b/>
          <w:bCs/>
          <w:color w:val="auto"/>
          <w:sz w:val="24"/>
          <w:highlight w:val="none"/>
        </w:rPr>
        <w:t>不提供不得分）</w:t>
      </w:r>
    </w:p>
    <w:p w14:paraId="762B25DF">
      <w:pPr>
        <w:kinsoku/>
        <w:wordWrap/>
        <w:overflowPunct/>
        <w:topLinePunct w:val="0"/>
        <w:autoSpaceDE/>
        <w:autoSpaceDN/>
        <w:bidi w:val="0"/>
        <w:adjustRightInd/>
        <w:spacing w:line="300" w:lineRule="auto"/>
        <w:ind w:right="-124" w:firstLine="480"/>
        <w:textAlignment w:val="auto"/>
        <w:rPr>
          <w:rFonts w:hint="default" w:ascii="Times New Roman" w:hAnsi="Times New Roman" w:eastAsia="宋体" w:cs="Times New Roman"/>
          <w:b/>
          <w:color w:val="auto"/>
          <w:spacing w:val="7"/>
          <w:sz w:val="24"/>
          <w:szCs w:val="24"/>
          <w:highlight w:val="none"/>
          <w:lang w:val="en-US" w:eastAsia="zh-CN"/>
        </w:rPr>
      </w:pPr>
    </w:p>
    <w:bookmarkEnd w:id="220"/>
    <w:bookmarkEnd w:id="221"/>
    <w:bookmarkEnd w:id="222"/>
    <w:bookmarkEnd w:id="223"/>
    <w:p w14:paraId="0201D1A5">
      <w:pPr>
        <w:pStyle w:val="18"/>
        <w:pageBreakBefore/>
        <w:wordWrap/>
        <w:overflowPunct/>
        <w:topLinePunct w:val="0"/>
        <w:bidi w:val="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第六章 投标</w:t>
      </w:r>
      <w:bookmarkEnd w:id="214"/>
      <w:bookmarkEnd w:id="215"/>
      <w:bookmarkEnd w:id="216"/>
      <w:r>
        <w:rPr>
          <w:rFonts w:hint="default" w:ascii="Times New Roman" w:hAnsi="Times New Roman" w:eastAsia="宋体" w:cs="Times New Roman"/>
          <w:color w:val="auto"/>
          <w:highlight w:val="none"/>
        </w:rPr>
        <w:t>文件格式</w:t>
      </w:r>
      <w:bookmarkEnd w:id="217"/>
      <w:bookmarkEnd w:id="218"/>
      <w:bookmarkEnd w:id="219"/>
      <w:bookmarkStart w:id="251" w:name="_Hlt26671244"/>
      <w:bookmarkEnd w:id="251"/>
      <w:bookmarkStart w:id="252" w:name="_Hlt26955039"/>
      <w:bookmarkEnd w:id="252"/>
      <w:bookmarkStart w:id="253" w:name="_Toc120614282"/>
      <w:bookmarkStart w:id="254" w:name="_Toc49090576"/>
      <w:bookmarkStart w:id="255" w:name="_Toc26554094"/>
    </w:p>
    <w:bookmarkEnd w:id="197"/>
    <w:bookmarkEnd w:id="198"/>
    <w:bookmarkEnd w:id="253"/>
    <w:bookmarkEnd w:id="254"/>
    <w:bookmarkEnd w:id="255"/>
    <w:p w14:paraId="0B8A4D77">
      <w:pPr>
        <w:wordWrap/>
        <w:overflowPunct/>
        <w:topLinePunct w:val="0"/>
        <w:bidi w:val="0"/>
        <w:spacing w:line="300" w:lineRule="auto"/>
        <w:ind w:right="-124" w:firstLine="420" w:firstLineChars="200"/>
        <w:textAlignment w:val="baseline"/>
        <w:rPr>
          <w:rFonts w:hint="default" w:ascii="Times New Roman" w:hAnsi="Times New Roman" w:eastAsia="宋体" w:cs="Times New Roman"/>
          <w:color w:val="auto"/>
          <w:highlight w:val="none"/>
        </w:rPr>
      </w:pPr>
    </w:p>
    <w:p w14:paraId="2861645A">
      <w:pPr>
        <w:wordWrap/>
        <w:overflowPunct/>
        <w:topLinePunct w:val="0"/>
        <w:bidi w:val="0"/>
        <w:spacing w:line="300" w:lineRule="auto"/>
        <w:ind w:firstLine="400" w:firstLineChars="200"/>
        <w:jc w:val="left"/>
        <w:rPr>
          <w:rFonts w:hint="default" w:ascii="Times New Roman" w:hAnsi="Times New Roman" w:eastAsia="宋体" w:cs="Times New Roman"/>
          <w:color w:val="auto"/>
          <w:sz w:val="20"/>
          <w:highlight w:val="none"/>
        </w:rPr>
      </w:pPr>
      <w:bookmarkStart w:id="256" w:name="EB3198bb99319c4c5cb9e4b30deb0155ce"/>
    </w:p>
    <w:p w14:paraId="1A73DB67">
      <w:pPr>
        <w:pStyle w:val="63"/>
        <w:wordWrap/>
        <w:overflowPunct/>
        <w:topLinePunct w:val="0"/>
        <w:bidi w:val="0"/>
        <w:spacing w:after="400" w:line="300" w:lineRule="auto"/>
        <w:jc w:val="center"/>
        <w:rPr>
          <w:rStyle w:val="21"/>
          <w:rFonts w:hint="default" w:ascii="Times New Roman" w:hAnsi="Times New Roman" w:eastAsia="宋体" w:cs="Times New Roman"/>
          <w:color w:val="auto"/>
          <w:sz w:val="40"/>
          <w:szCs w:val="40"/>
          <w:highlight w:val="none"/>
        </w:rPr>
      </w:pPr>
      <w:r>
        <w:rPr>
          <w:rStyle w:val="21"/>
          <w:rFonts w:hint="default" w:ascii="Times New Roman" w:hAnsi="Times New Roman" w:eastAsia="宋体" w:cs="Times New Roman"/>
          <w:color w:val="auto"/>
          <w:sz w:val="40"/>
          <w:szCs w:val="40"/>
          <w:highlight w:val="none"/>
        </w:rPr>
        <w:t>投标主要文件目录</w:t>
      </w:r>
    </w:p>
    <w:p w14:paraId="0AEBDEFF">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一、封面</w:t>
      </w:r>
    </w:p>
    <w:p w14:paraId="40B3C14C">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二、投标函格式</w:t>
      </w:r>
    </w:p>
    <w:p w14:paraId="5488FEB2">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三、开标一览表</w:t>
      </w:r>
    </w:p>
    <w:p w14:paraId="05C2CFC1">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四、资格证明文件</w:t>
      </w:r>
    </w:p>
    <w:p w14:paraId="4954E4B3">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法人或者其他组织的营业执照等证明文件，自然人的身份证明</w:t>
      </w:r>
    </w:p>
    <w:p w14:paraId="78022565">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财务状况报告（成立不满一年不需要提供）</w:t>
      </w:r>
    </w:p>
    <w:p w14:paraId="79FC8BAE">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依法缴纳税收和社会保障资金的相关材料</w:t>
      </w:r>
    </w:p>
    <w:p w14:paraId="5A06CE85">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r>
        <w:rPr>
          <w:rStyle w:val="21"/>
          <w:rFonts w:hint="eastAsia" w:ascii="Times New Roman" w:hAnsi="Times New Roman" w:eastAsia="宋体" w:cs="Times New Roman"/>
          <w:color w:val="auto"/>
          <w:highlight w:val="none"/>
          <w:lang w:val="en-US" w:eastAsia="zh-CN"/>
        </w:rPr>
        <w:t>投标人所投产品</w:t>
      </w:r>
      <w:r>
        <w:rPr>
          <w:rStyle w:val="21"/>
          <w:rFonts w:hint="default" w:ascii="Times New Roman" w:hAnsi="Times New Roman" w:eastAsia="宋体" w:cs="Times New Roman"/>
          <w:color w:val="auto"/>
          <w:highlight w:val="none"/>
        </w:rPr>
        <w:t>具备履行合同所必需的设备和专业技术能力的书面声明</w:t>
      </w:r>
    </w:p>
    <w:p w14:paraId="04426EF8">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参加政府采购活动前3年内在经营活动中没有重大违法记录的书面声明</w:t>
      </w:r>
    </w:p>
    <w:p w14:paraId="0DA080F9">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授权委托书</w:t>
      </w:r>
    </w:p>
    <w:p w14:paraId="7F449D2A">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  关于资格证明文件的书面承诺</w:t>
      </w:r>
    </w:p>
    <w:p w14:paraId="6BE41CEB">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lang w:val="en-US" w:eastAsia="zh-CN"/>
        </w:rPr>
      </w:pPr>
      <w:r>
        <w:rPr>
          <w:rStyle w:val="21"/>
          <w:rFonts w:hint="default" w:ascii="Times New Roman" w:hAnsi="Times New Roman" w:eastAsia="宋体" w:cs="Times New Roman"/>
          <w:color w:val="auto"/>
          <w:highlight w:val="none"/>
          <w:lang w:val="en-US" w:eastAsia="zh-CN"/>
        </w:rPr>
        <w:t>承诺书</w:t>
      </w:r>
    </w:p>
    <w:p w14:paraId="1B2B7E8E">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lang w:val="en-US" w:eastAsia="zh-CN"/>
        </w:rPr>
      </w:pPr>
      <w:r>
        <w:rPr>
          <w:rStyle w:val="21"/>
          <w:rFonts w:hint="default" w:ascii="Times New Roman" w:hAnsi="Times New Roman" w:eastAsia="宋体" w:cs="Times New Roman"/>
          <w:color w:val="auto"/>
          <w:highlight w:val="none"/>
          <w:lang w:val="en-US" w:eastAsia="zh-CN"/>
        </w:rPr>
        <w:t>未被</w:t>
      </w:r>
      <w:r>
        <w:rPr>
          <w:rStyle w:val="21"/>
          <w:rFonts w:hint="eastAsia" w:ascii="Times New Roman" w:hAnsi="Times New Roman" w:eastAsia="宋体" w:cs="Times New Roman"/>
          <w:color w:val="auto"/>
          <w:highlight w:val="none"/>
          <w:lang w:val="en-US" w:eastAsia="zh-CN"/>
        </w:rPr>
        <w:t>“</w:t>
      </w:r>
      <w:r>
        <w:rPr>
          <w:rStyle w:val="21"/>
          <w:rFonts w:hint="default" w:ascii="Times New Roman" w:hAnsi="Times New Roman" w:eastAsia="宋体" w:cs="Times New Roman"/>
          <w:color w:val="auto"/>
          <w:highlight w:val="none"/>
          <w:lang w:val="en-US" w:eastAsia="zh-CN"/>
        </w:rPr>
        <w:t>信用中国</w:t>
      </w:r>
      <w:r>
        <w:rPr>
          <w:rStyle w:val="21"/>
          <w:rFonts w:hint="eastAsia" w:ascii="Times New Roman" w:hAnsi="Times New Roman" w:eastAsia="宋体" w:cs="Times New Roman"/>
          <w:color w:val="auto"/>
          <w:highlight w:val="none"/>
          <w:lang w:val="en-US" w:eastAsia="zh-CN"/>
        </w:rPr>
        <w:t>”</w:t>
      </w:r>
      <w:r>
        <w:rPr>
          <w:rStyle w:val="21"/>
          <w:rFonts w:hint="default" w:ascii="Times New Roman" w:hAnsi="Times New Roman" w:eastAsia="宋体" w:cs="Times New Roman"/>
          <w:color w:val="auto"/>
          <w:highlight w:val="none"/>
          <w:lang w:val="en-US" w:eastAsia="zh-CN"/>
        </w:rPr>
        <w:t>网站（www.creditchina.gov.cn）列入失信被执行人、重大税收违法案件当事人名单、政府采购严重失信行为记录名单。</w:t>
      </w:r>
    </w:p>
    <w:p w14:paraId="6D415239">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五、投标配置及分项报价表</w:t>
      </w:r>
    </w:p>
    <w:p w14:paraId="05081398">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六、常用仪器/系统对接接口费用报价单</w:t>
      </w:r>
    </w:p>
    <w:p w14:paraId="67868636">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七、技术参数响应及偏离表</w:t>
      </w:r>
    </w:p>
    <w:p w14:paraId="76CA7EB3">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八、商务条款响应及偏离表</w:t>
      </w:r>
    </w:p>
    <w:p w14:paraId="5D3DF43A">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九、第四章项目需求中实质性要求响应对照表</w:t>
      </w:r>
    </w:p>
    <w:p w14:paraId="4834C5E1">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十、技术方案、服务方案</w:t>
      </w:r>
    </w:p>
    <w:p w14:paraId="6E02480A">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十一、投标人情况介绍</w:t>
      </w:r>
    </w:p>
    <w:p w14:paraId="76D92D7A">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投标人</w:t>
      </w:r>
      <w:r>
        <w:rPr>
          <w:rStyle w:val="21"/>
          <w:rFonts w:hint="eastAsia" w:ascii="Times New Roman" w:hAnsi="Times New Roman" w:eastAsia="宋体" w:cs="Times New Roman"/>
          <w:color w:val="auto"/>
          <w:highlight w:val="none"/>
          <w:lang w:val="en-US" w:eastAsia="zh-CN"/>
        </w:rPr>
        <w:t>所投产品</w:t>
      </w:r>
      <w:r>
        <w:rPr>
          <w:rStyle w:val="21"/>
          <w:rFonts w:hint="default" w:ascii="Times New Roman" w:hAnsi="Times New Roman" w:eastAsia="宋体" w:cs="Times New Roman"/>
          <w:color w:val="auto"/>
          <w:highlight w:val="none"/>
        </w:rPr>
        <w:t>拥有的加工设备介绍</w:t>
      </w:r>
    </w:p>
    <w:p w14:paraId="0BD543D4">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投标人</w:t>
      </w:r>
      <w:r>
        <w:rPr>
          <w:rStyle w:val="21"/>
          <w:rFonts w:hint="eastAsia" w:ascii="Times New Roman" w:hAnsi="Times New Roman" w:eastAsia="宋体" w:cs="Times New Roman"/>
          <w:color w:val="auto"/>
          <w:highlight w:val="none"/>
          <w:lang w:val="en-US" w:eastAsia="zh-CN"/>
        </w:rPr>
        <w:t>所投产品</w:t>
      </w:r>
      <w:r>
        <w:rPr>
          <w:rStyle w:val="21"/>
          <w:rFonts w:hint="default" w:ascii="Times New Roman" w:hAnsi="Times New Roman" w:eastAsia="宋体" w:cs="Times New Roman"/>
          <w:color w:val="auto"/>
          <w:highlight w:val="none"/>
        </w:rPr>
        <w:t>类似业绩一览表</w:t>
      </w:r>
    </w:p>
    <w:p w14:paraId="3C84CE48">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投标人</w:t>
      </w:r>
      <w:r>
        <w:rPr>
          <w:rStyle w:val="21"/>
          <w:rFonts w:hint="eastAsia" w:ascii="Times New Roman" w:hAnsi="Times New Roman" w:eastAsia="宋体" w:cs="Times New Roman"/>
          <w:color w:val="auto"/>
          <w:highlight w:val="none"/>
          <w:lang w:val="en-US" w:eastAsia="zh-CN"/>
        </w:rPr>
        <w:t>所投产品</w:t>
      </w:r>
      <w:r>
        <w:rPr>
          <w:rStyle w:val="21"/>
          <w:rFonts w:hint="default" w:ascii="Times New Roman" w:hAnsi="Times New Roman" w:eastAsia="宋体" w:cs="Times New Roman"/>
          <w:color w:val="auto"/>
          <w:highlight w:val="none"/>
        </w:rPr>
        <w:t>获得的相关证书</w:t>
      </w:r>
    </w:p>
    <w:p w14:paraId="0EB3884F">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投标人</w:t>
      </w:r>
      <w:r>
        <w:rPr>
          <w:rStyle w:val="21"/>
          <w:rFonts w:hint="eastAsia" w:ascii="Times New Roman" w:hAnsi="Times New Roman" w:eastAsia="宋体" w:cs="Times New Roman"/>
          <w:color w:val="auto"/>
          <w:highlight w:val="none"/>
          <w:lang w:val="en-US" w:eastAsia="zh-CN"/>
        </w:rPr>
        <w:t>所投产品</w:t>
      </w:r>
      <w:r>
        <w:rPr>
          <w:rStyle w:val="21"/>
          <w:rFonts w:hint="default" w:ascii="Times New Roman" w:hAnsi="Times New Roman" w:eastAsia="宋体" w:cs="Times New Roman"/>
          <w:color w:val="auto"/>
          <w:highlight w:val="none"/>
        </w:rPr>
        <w:t>获得的相关奖项</w:t>
      </w:r>
    </w:p>
    <w:p w14:paraId="726D5E58">
      <w:pPr>
        <w:pStyle w:val="6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生产厂家的产品宣传彩页或样册</w:t>
      </w:r>
    </w:p>
    <w:p w14:paraId="47F21238">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十二、中小企业声明函</w:t>
      </w:r>
    </w:p>
    <w:p w14:paraId="3C6C51D1">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十三、残疾人福利性单位声明函</w:t>
      </w:r>
    </w:p>
    <w:p w14:paraId="68A32E09">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十四、监狱企业的证明文件</w:t>
      </w:r>
    </w:p>
    <w:p w14:paraId="1FF0B38E">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十五、检测报告</w:t>
      </w:r>
    </w:p>
    <w:p w14:paraId="367B47F9">
      <w:pPr>
        <w:pStyle w:val="63"/>
        <w:wordWrap/>
        <w:overflowPunct/>
        <w:topLinePunct w:val="0"/>
        <w:bidi w:val="0"/>
        <w:spacing w:before="240" w:after="240" w:line="300" w:lineRule="auto"/>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t>十六、其他材料</w:t>
      </w: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32"/>
          <w:highlight w:val="none"/>
        </w:rPr>
        <w:t>一、封面</w:t>
      </w:r>
    </w:p>
    <w:p w14:paraId="643A76FD">
      <w:pPr>
        <w:pStyle w:val="66"/>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17A1733E">
      <w:pPr>
        <w:pStyle w:val="66"/>
        <w:wordWrap/>
        <w:overflowPunct/>
        <w:topLinePunct w:val="0"/>
        <w:bidi w:val="0"/>
        <w:spacing w:before="540" w:after="540" w:line="300" w:lineRule="auto"/>
        <w:jc w:val="center"/>
        <w:rPr>
          <w:rStyle w:val="21"/>
          <w:rFonts w:hint="default" w:ascii="Times New Roman" w:hAnsi="Times New Roman" w:eastAsia="宋体" w:cs="Times New Roman"/>
          <w:color w:val="auto"/>
          <w:sz w:val="54"/>
          <w:szCs w:val="54"/>
          <w:highlight w:val="none"/>
        </w:rPr>
      </w:pPr>
      <w:r>
        <w:rPr>
          <w:rStyle w:val="21"/>
          <w:rFonts w:hint="default" w:ascii="Times New Roman" w:hAnsi="Times New Roman" w:eastAsia="宋体" w:cs="Times New Roman"/>
          <w:color w:val="auto"/>
          <w:sz w:val="54"/>
          <w:szCs w:val="54"/>
          <w:highlight w:val="none"/>
        </w:rPr>
        <w:t>投 标 文 件</w:t>
      </w:r>
    </w:p>
    <w:p w14:paraId="42FEFB93">
      <w:pPr>
        <w:pStyle w:val="66"/>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0426A524">
      <w:pPr>
        <w:pStyle w:val="66"/>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6BAEEBDD">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项目名称：   </w:t>
      </w:r>
    </w:p>
    <w:p w14:paraId="5AED5DD4">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招标编号：   </w:t>
      </w:r>
    </w:p>
    <w:p w14:paraId="352934D5">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58E1BA3E">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264E80C1">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投标人名称：   </w:t>
      </w:r>
    </w:p>
    <w:p w14:paraId="28508BBD">
      <w:pPr>
        <w:pStyle w:val="66"/>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日期：   </w:t>
      </w:r>
    </w:p>
    <w:p w14:paraId="25258A69">
      <w:pPr>
        <w:pStyle w:val="67"/>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57" w:name="_Toc11819"/>
      <w:r>
        <w:rPr>
          <w:rStyle w:val="21"/>
          <w:rFonts w:hint="default" w:ascii="Times New Roman" w:hAnsi="Times New Roman" w:eastAsia="宋体" w:cs="Times New Roman"/>
          <w:b/>
          <w:color w:val="auto"/>
          <w:sz w:val="32"/>
          <w:highlight w:val="none"/>
        </w:rPr>
        <w:t>二、投标函格式</w:t>
      </w:r>
      <w:bookmarkEnd w:id="257"/>
    </w:p>
    <w:p w14:paraId="63A5F22E">
      <w:pPr>
        <w:pStyle w:val="68"/>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3FD571F9">
      <w:pPr>
        <w:pStyle w:val="68"/>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投标函格式</w:t>
      </w:r>
    </w:p>
    <w:p w14:paraId="4CFE5AFE">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致：   </w:t>
      </w:r>
    </w:p>
    <w:p w14:paraId="40012759">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p>
    <w:p w14:paraId="0839F10E">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据此函，签字人兹宣布同意如下： </w:t>
      </w:r>
    </w:p>
    <w:p w14:paraId="2D1EA514">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1、同意向贵方提供贵方可能另外要求的与投标有关的任何证据或资料； </w:t>
      </w:r>
    </w:p>
    <w:p w14:paraId="1A2710DB">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2、我们完全理解贵方不一定将合同授予最低报价的投标人； </w:t>
      </w:r>
    </w:p>
    <w:p w14:paraId="7061D337">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p>
    <w:p w14:paraId="029A30ED">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p>
    <w:p w14:paraId="5CAD685B">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5、与本投标有关的正式通讯地址为： </w:t>
      </w:r>
    </w:p>
    <w:p w14:paraId="1DA2C88B">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地址：    </w:t>
      </w:r>
    </w:p>
    <w:p w14:paraId="734EB273">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邮编：    </w:t>
      </w:r>
    </w:p>
    <w:p w14:paraId="67EB9D40">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电话：    </w:t>
      </w:r>
    </w:p>
    <w:p w14:paraId="646DEBD3">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传真：    </w:t>
      </w:r>
    </w:p>
    <w:p w14:paraId="103F5901">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投标单位代表姓名：    </w:t>
      </w:r>
    </w:p>
    <w:p w14:paraId="4BDF55E6">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投标单位名称：    </w:t>
      </w:r>
    </w:p>
    <w:p w14:paraId="3481BEA4">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公章：</w:t>
      </w:r>
    </w:p>
    <w:p w14:paraId="265A5BD4">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日期：   </w:t>
      </w:r>
    </w:p>
    <w:p w14:paraId="49A8320C">
      <w:pPr>
        <w:pStyle w:val="6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5285ACC1">
      <w:pPr>
        <w:pStyle w:val="69"/>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58" w:name="_Toc14953"/>
      <w:r>
        <w:rPr>
          <w:rStyle w:val="21"/>
          <w:rFonts w:hint="default" w:ascii="Times New Roman" w:hAnsi="Times New Roman" w:eastAsia="宋体" w:cs="Times New Roman"/>
          <w:b/>
          <w:color w:val="auto"/>
          <w:sz w:val="32"/>
          <w:highlight w:val="none"/>
        </w:rPr>
        <w:t>三、开标一览表</w:t>
      </w:r>
      <w:bookmarkEnd w:id="258"/>
    </w:p>
    <w:p w14:paraId="09BF33D5">
      <w:pPr>
        <w:pStyle w:val="70"/>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69486969">
      <w:pPr>
        <w:pStyle w:val="70"/>
        <w:wordWrap/>
        <w:overflowPunct/>
        <w:topLinePunct w:val="0"/>
        <w:bidi w:val="0"/>
        <w:spacing w:before="400" w:after="400" w:line="300" w:lineRule="auto"/>
        <w:jc w:val="center"/>
        <w:rPr>
          <w:rStyle w:val="21"/>
          <w:rFonts w:hint="default" w:ascii="Times New Roman" w:hAnsi="Times New Roman" w:eastAsia="宋体" w:cs="Times New Roman"/>
          <w:b/>
          <w:bCs/>
          <w:color w:val="auto"/>
          <w:sz w:val="40"/>
          <w:szCs w:val="40"/>
          <w:highlight w:val="none"/>
        </w:rPr>
      </w:pPr>
      <w:r>
        <w:rPr>
          <w:rStyle w:val="21"/>
          <w:rFonts w:hint="default" w:ascii="Times New Roman" w:hAnsi="Times New Roman" w:eastAsia="宋体" w:cs="Times New Roman"/>
          <w:b/>
          <w:bCs/>
          <w:color w:val="auto"/>
          <w:sz w:val="40"/>
          <w:szCs w:val="40"/>
          <w:highlight w:val="none"/>
        </w:rPr>
        <w:t>开标一览表</w:t>
      </w:r>
    </w:p>
    <w:p w14:paraId="0B466689">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投标单位全称（加盖公章）：    </w:t>
      </w:r>
    </w:p>
    <w:p w14:paraId="390FE568">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tbl>
      <w:tblPr>
        <w:tblStyle w:val="19"/>
        <w:tblW w:w="10257"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4857"/>
        <w:gridCol w:w="2216"/>
        <w:gridCol w:w="1754"/>
        <w:gridCol w:w="1430"/>
      </w:tblGrid>
      <w:tr w14:paraId="3F35908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12" w:hRule="atLeast"/>
        </w:trPr>
        <w:tc>
          <w:tcPr>
            <w:tcW w:w="485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82FC04">
            <w:pPr>
              <w:pStyle w:val="7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投标货物名称 </w:t>
            </w:r>
          </w:p>
        </w:tc>
        <w:tc>
          <w:tcPr>
            <w:tcW w:w="221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9297C3">
            <w:pPr>
              <w:pStyle w:val="7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技术要求 </w:t>
            </w:r>
          </w:p>
        </w:tc>
        <w:tc>
          <w:tcPr>
            <w:tcW w:w="17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EC53D2">
            <w:pPr>
              <w:pStyle w:val="7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总价（元） </w:t>
            </w:r>
          </w:p>
        </w:tc>
        <w:tc>
          <w:tcPr>
            <w:tcW w:w="14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234559">
            <w:pPr>
              <w:pStyle w:val="7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备注 </w:t>
            </w:r>
          </w:p>
        </w:tc>
      </w:tr>
      <w:tr w14:paraId="02F8FF6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09" w:hRule="atLeast"/>
        </w:trPr>
        <w:tc>
          <w:tcPr>
            <w:tcW w:w="485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C13CB93">
            <w:pPr>
              <w:pStyle w:val="7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eastAsia="zh-CN"/>
              </w:rPr>
            </w:pPr>
            <w:r>
              <w:rPr>
                <w:rFonts w:hint="eastAsia" w:ascii="Times New Roman" w:hAnsi="Times New Roman" w:eastAsia="宋体" w:cs="Times New Roman"/>
                <w:b w:val="0"/>
                <w:bCs w:val="0"/>
                <w:color w:val="auto"/>
                <w:sz w:val="24"/>
                <w:szCs w:val="24"/>
                <w:highlight w:val="none"/>
                <w:lang w:eastAsia="zh-CN"/>
              </w:rPr>
              <w:t>检验/输血管理系统更新项目</w:t>
            </w:r>
          </w:p>
        </w:tc>
        <w:tc>
          <w:tcPr>
            <w:tcW w:w="221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8FB635">
            <w:pPr>
              <w:pStyle w:val="7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详见第四章项目需求</w:t>
            </w:r>
          </w:p>
        </w:tc>
        <w:tc>
          <w:tcPr>
            <w:tcW w:w="17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79D8FC">
            <w:pPr>
              <w:pStyle w:val="7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w:t>
            </w:r>
          </w:p>
        </w:tc>
        <w:tc>
          <w:tcPr>
            <w:tcW w:w="143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6C456A">
            <w:pPr>
              <w:pStyle w:val="7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r>
      <w:tr w14:paraId="79F79DD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7" w:hRule="atLeast"/>
        </w:trPr>
        <w:tc>
          <w:tcPr>
            <w:tcW w:w="485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0A65BF">
            <w:pPr>
              <w:pStyle w:val="7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投标总报价（大写） </w:t>
            </w:r>
          </w:p>
        </w:tc>
        <w:tc>
          <w:tcPr>
            <w:tcW w:w="5400"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3B4E4E">
            <w:pPr>
              <w:pStyle w:val="7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w:t>
            </w:r>
          </w:p>
        </w:tc>
      </w:tr>
    </w:tbl>
    <w:p w14:paraId="2558EFC4">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6DD13168">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注： </w:t>
      </w:r>
    </w:p>
    <w:p w14:paraId="2447A0CF">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1、总价为综合报价，</w:t>
      </w:r>
      <w:r>
        <w:rPr>
          <w:rStyle w:val="21"/>
          <w:rFonts w:hint="default" w:ascii="Times New Roman" w:hAnsi="Times New Roman" w:eastAsia="宋体" w:cs="Times New Roman"/>
          <w:color w:val="auto"/>
          <w:highlight w:val="none"/>
          <w:lang w:eastAsia="zh-CN"/>
        </w:rPr>
        <w:t>包括但不限于含设备、软件以及相应的附件、备件、配件、包装、税费、运杂（到位）、保险、安装、调试、验收、管理、售后服务、维护、人员培训、接口费、专利技术、质保期间等一切费用及其他费用等所产生的费用</w:t>
      </w:r>
      <w:r>
        <w:rPr>
          <w:rStyle w:val="21"/>
          <w:rFonts w:hint="default" w:ascii="Times New Roman" w:hAnsi="Times New Roman" w:eastAsia="宋体" w:cs="Times New Roman"/>
          <w:color w:val="auto"/>
          <w:highlight w:val="none"/>
        </w:rPr>
        <w:t>，对报价构成及相关内容需作说明的可另附页。</w:t>
      </w:r>
    </w:p>
    <w:p w14:paraId="4D9FA4CC">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2、投标人对招标文件规定的招标报价包含项目不得减少，无论投标人对报价是否有特别说明，均视为所报价格包含了招标文件规定的全部项目价格。招标文件未列明，而投标人认为必需的费用也需列入报价。</w:t>
      </w:r>
    </w:p>
    <w:p w14:paraId="79D053B0">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3.(1)若本次采购项目为单一产品，提供相同品牌产品且通过资格审查、符合性审查的不同投标人参加同一合同项下投标的，按一家投标人计算。对招标文件作实质响应的投标人不足三个的，将作废标处理；</w:t>
      </w:r>
    </w:p>
    <w:p w14:paraId="2794BFAE">
      <w:pPr>
        <w:pStyle w:val="7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 </w:t>
      </w:r>
    </w:p>
    <w:p w14:paraId="0206BE69">
      <w:pPr>
        <w:pStyle w:val="71"/>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59" w:name="_Toc20621"/>
      <w:r>
        <w:rPr>
          <w:rStyle w:val="21"/>
          <w:rFonts w:hint="default" w:ascii="Times New Roman" w:hAnsi="Times New Roman" w:eastAsia="宋体" w:cs="Times New Roman"/>
          <w:b/>
          <w:color w:val="auto"/>
          <w:sz w:val="32"/>
          <w:highlight w:val="none"/>
        </w:rPr>
        <w:t>四、资格证明文件</w:t>
      </w:r>
      <w:bookmarkEnd w:id="259"/>
    </w:p>
    <w:p w14:paraId="7DCC1EE1">
      <w:pPr>
        <w:pStyle w:val="72"/>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法人或者其他组织的营业执照等证明文件，自然人的身份证明</w:t>
      </w:r>
    </w:p>
    <w:p w14:paraId="259CA271">
      <w:pPr>
        <w:pStyle w:val="73"/>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77E5152E">
      <w:pPr>
        <w:pStyle w:val="7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45C93A26">
      <w:pPr>
        <w:pStyle w:val="73"/>
        <w:wordWrap/>
        <w:overflowPunct/>
        <w:topLinePunct w:val="0"/>
        <w:bidi w:val="0"/>
        <w:spacing w:before="360" w:after="360" w:line="300" w:lineRule="auto"/>
        <w:jc w:val="center"/>
        <w:rPr>
          <w:rStyle w:val="21"/>
          <w:rFonts w:hint="default" w:ascii="Times New Roman" w:hAnsi="Times New Roman" w:eastAsia="宋体" w:cs="Times New Roman"/>
          <w:b/>
          <w:bCs/>
          <w:color w:val="auto"/>
          <w:sz w:val="36"/>
          <w:szCs w:val="36"/>
          <w:highlight w:val="none"/>
        </w:rPr>
      </w:pPr>
      <w:r>
        <w:rPr>
          <w:rStyle w:val="21"/>
          <w:rFonts w:hint="default" w:ascii="Times New Roman" w:hAnsi="Times New Roman" w:eastAsia="宋体" w:cs="Times New Roman"/>
          <w:b/>
          <w:bCs/>
          <w:color w:val="auto"/>
          <w:sz w:val="36"/>
          <w:szCs w:val="36"/>
          <w:highlight w:val="none"/>
        </w:rPr>
        <w:t xml:space="preserve">法人或者其他组织的营业执照等证明文件，自然人的身份证明 </w:t>
      </w:r>
    </w:p>
    <w:tbl>
      <w:tblPr>
        <w:tblStyle w:val="19"/>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215"/>
        <w:gridCol w:w="6255"/>
        <w:gridCol w:w="1515"/>
      </w:tblGrid>
      <w:tr w14:paraId="776AC04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B4D150">
            <w:pPr>
              <w:pStyle w:val="7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序号 </w:t>
            </w:r>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6B79EC">
            <w:pPr>
              <w:pStyle w:val="7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4B2910">
            <w:pPr>
              <w:pStyle w:val="7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查看 </w:t>
            </w:r>
          </w:p>
        </w:tc>
      </w:tr>
      <w:tr w14:paraId="68583C6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7A6865">
            <w:pPr>
              <w:pStyle w:val="7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bookmarkStart w:id="260" w:name="A1"/>
            <w:bookmarkEnd w:id="260"/>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D29ADAF">
            <w:pPr>
              <w:pStyle w:val="73"/>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61" w:name="MC"/>
            <w:bookmarkEnd w:id="261"/>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E92609">
            <w:pPr>
              <w:pStyle w:val="7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bookmarkStart w:id="262" w:name="ChaKan"/>
            <w:bookmarkEnd w:id="262"/>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r>
    </w:tbl>
    <w:p w14:paraId="1B17EAC0">
      <w:pPr>
        <w:pStyle w:val="73"/>
        <w:wordWrap/>
        <w:overflowPunct/>
        <w:topLinePunct w:val="0"/>
        <w:bidi w:val="0"/>
        <w:spacing w:before="240" w:after="240" w:line="300" w:lineRule="auto"/>
        <w:jc w:val="left"/>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注：若</w:t>
      </w:r>
      <w:r>
        <w:rPr>
          <w:rStyle w:val="21"/>
          <w:rFonts w:hint="default" w:ascii="Times New Roman" w:hAnsi="Times New Roman" w:eastAsia="宋体" w:cs="Times New Roman"/>
          <w:color w:val="auto"/>
          <w:highlight w:val="none"/>
          <w:lang w:val="en-US" w:eastAsia="zh-CN"/>
        </w:rPr>
        <w:t>投标人</w:t>
      </w:r>
      <w:r>
        <w:rPr>
          <w:rStyle w:val="21"/>
          <w:rFonts w:hint="default" w:ascii="Times New Roman" w:hAnsi="Times New Roman" w:eastAsia="宋体" w:cs="Times New Roman"/>
          <w:color w:val="auto"/>
          <w:highlight w:val="none"/>
        </w:rPr>
        <w:t>为分公司，则还须提供总公司同意其独立开展业务的授权，其中银行、保险、石油石化、电力、电信、邮政、铁路等特殊行业，可提供总公司有关文件或制度等能够证明总公司授权其独立开展业务的证明材料。</w:t>
      </w:r>
    </w:p>
    <w:p w14:paraId="04E7A7D0">
      <w:pPr>
        <w:pStyle w:val="73"/>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2375F260">
      <w:pPr>
        <w:pStyle w:val="74"/>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财务状况报告（成立不满一年不需要提供）</w:t>
      </w:r>
    </w:p>
    <w:p w14:paraId="2683A260">
      <w:pPr>
        <w:pStyle w:val="75"/>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3335998A">
      <w:pPr>
        <w:pStyle w:val="75"/>
        <w:wordWrap/>
        <w:overflowPunct/>
        <w:topLinePunct w:val="0"/>
        <w:bidi w:val="0"/>
        <w:spacing w:before="360" w:after="360" w:line="300" w:lineRule="auto"/>
        <w:jc w:val="center"/>
        <w:rPr>
          <w:rStyle w:val="21"/>
          <w:rFonts w:hint="default" w:ascii="Times New Roman" w:hAnsi="Times New Roman" w:eastAsia="宋体" w:cs="Times New Roman"/>
          <w:b/>
          <w:bCs/>
          <w:color w:val="auto"/>
          <w:sz w:val="36"/>
          <w:szCs w:val="36"/>
          <w:highlight w:val="none"/>
        </w:rPr>
      </w:pPr>
      <w:r>
        <w:rPr>
          <w:rStyle w:val="21"/>
          <w:rFonts w:hint="default" w:ascii="Times New Roman" w:hAnsi="Times New Roman" w:eastAsia="宋体" w:cs="Times New Roman"/>
          <w:b/>
          <w:bCs/>
          <w:color w:val="auto"/>
          <w:sz w:val="36"/>
          <w:szCs w:val="36"/>
          <w:highlight w:val="none"/>
        </w:rPr>
        <w:t>近年财务状况表</w:t>
      </w:r>
    </w:p>
    <w:tbl>
      <w:tblPr>
        <w:tblStyle w:val="19"/>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815"/>
        <w:gridCol w:w="5025"/>
        <w:gridCol w:w="2145"/>
      </w:tblGrid>
      <w:tr w14:paraId="6F869C6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9CAF79">
            <w:pPr>
              <w:pStyle w:val="7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年度 </w:t>
            </w:r>
          </w:p>
        </w:tc>
        <w:tc>
          <w:tcPr>
            <w:tcW w:w="502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A78500">
            <w:pPr>
              <w:pStyle w:val="7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说明 </w:t>
            </w:r>
          </w:p>
        </w:tc>
        <w:tc>
          <w:tcPr>
            <w:tcW w:w="2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CBEB1F">
            <w:pPr>
              <w:pStyle w:val="7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6B224C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52EEC02">
            <w:pPr>
              <w:pStyle w:val="75"/>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63" w:name="Year"/>
            <w:bookmarkEnd w:id="263"/>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c>
          <w:tcPr>
            <w:tcW w:w="502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A187E2">
            <w:pPr>
              <w:pStyle w:val="75"/>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64" w:name="ReMark"/>
            <w:bookmarkEnd w:id="264"/>
          </w:p>
        </w:tc>
        <w:tc>
          <w:tcPr>
            <w:tcW w:w="2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F738BD">
            <w:pPr>
              <w:pStyle w:val="75"/>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65" w:name="ChaKan_0"/>
            <w:bookmarkEnd w:id="265"/>
          </w:p>
        </w:tc>
      </w:tr>
    </w:tbl>
    <w:p w14:paraId="4455B2E5">
      <w:pPr>
        <w:pStyle w:val="75"/>
        <w:wordWrap/>
        <w:overflowPunct/>
        <w:topLinePunct w:val="0"/>
        <w:bidi w:val="0"/>
        <w:spacing w:line="300" w:lineRule="auto"/>
        <w:rPr>
          <w:rStyle w:val="21"/>
          <w:rFonts w:hint="default" w:ascii="Times New Roman" w:hAnsi="Times New Roman" w:eastAsia="宋体" w:cs="Times New Roman"/>
          <w:b/>
          <w:bCs/>
          <w:color w:val="auto"/>
          <w:sz w:val="36"/>
          <w:szCs w:val="36"/>
          <w:highlight w:val="none"/>
        </w:rPr>
      </w:pPr>
    </w:p>
    <w:p w14:paraId="4DBAB9F6">
      <w:pPr>
        <w:pStyle w:val="76"/>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依法缴纳税收和社会保障资金的相关材料</w:t>
      </w:r>
    </w:p>
    <w:p w14:paraId="4377981D">
      <w:pPr>
        <w:pStyle w:val="77"/>
        <w:wordWrap/>
        <w:overflowPunct/>
        <w:topLinePunct w:val="0"/>
        <w:bidi w:val="0"/>
        <w:spacing w:line="300" w:lineRule="auto"/>
        <w:jc w:val="center"/>
        <w:rPr>
          <w:rStyle w:val="21"/>
          <w:rFonts w:hint="default" w:ascii="Times New Roman" w:hAnsi="Times New Roman" w:eastAsia="宋体" w:cs="Times New Roman"/>
          <w:b/>
          <w:bCs/>
          <w:color w:val="auto"/>
          <w:sz w:val="28"/>
          <w:szCs w:val="28"/>
          <w:highlight w:val="none"/>
        </w:rPr>
      </w:pPr>
    </w:p>
    <w:p w14:paraId="6758793C">
      <w:pPr>
        <w:pStyle w:val="77"/>
        <w:wordWrap/>
        <w:overflowPunct/>
        <w:topLinePunct w:val="0"/>
        <w:bidi w:val="0"/>
        <w:spacing w:line="300" w:lineRule="auto"/>
        <w:jc w:val="center"/>
        <w:rPr>
          <w:rStyle w:val="21"/>
          <w:rFonts w:hint="default" w:ascii="Times New Roman" w:hAnsi="Times New Roman" w:eastAsia="宋体" w:cs="Times New Roman"/>
          <w:b/>
          <w:bCs/>
          <w:color w:val="auto"/>
          <w:sz w:val="28"/>
          <w:szCs w:val="28"/>
          <w:highlight w:val="none"/>
        </w:rPr>
      </w:pPr>
      <w:r>
        <w:rPr>
          <w:rStyle w:val="21"/>
          <w:rFonts w:hint="default" w:ascii="Times New Roman" w:hAnsi="Times New Roman" w:eastAsia="宋体" w:cs="Times New Roman"/>
          <w:b/>
          <w:bCs/>
          <w:color w:val="auto"/>
          <w:sz w:val="28"/>
          <w:szCs w:val="28"/>
          <w:highlight w:val="none"/>
        </w:rPr>
        <w:t>依法缴纳税收和社会保障资金的相关材料</w:t>
      </w:r>
    </w:p>
    <w:p w14:paraId="464094B4">
      <w:pPr>
        <w:pStyle w:val="78"/>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w:t>
      </w:r>
      <w:r>
        <w:rPr>
          <w:rStyle w:val="21"/>
          <w:rFonts w:hint="eastAsia" w:ascii="Times New Roman" w:hAnsi="Times New Roman" w:eastAsia="宋体" w:cs="Times New Roman"/>
          <w:b/>
          <w:color w:val="auto"/>
          <w:sz w:val="28"/>
          <w:highlight w:val="none"/>
          <w:lang w:val="en-US" w:eastAsia="zh-CN"/>
        </w:rPr>
        <w:t>投标人所投产品</w:t>
      </w:r>
      <w:r>
        <w:rPr>
          <w:rStyle w:val="21"/>
          <w:rFonts w:hint="default" w:ascii="Times New Roman" w:hAnsi="Times New Roman" w:eastAsia="宋体" w:cs="Times New Roman"/>
          <w:b/>
          <w:color w:val="auto"/>
          <w:sz w:val="28"/>
          <w:highlight w:val="none"/>
        </w:rPr>
        <w:t>具备履行合同所必需的设备和专业技术能力的书面声明</w:t>
      </w:r>
    </w:p>
    <w:p w14:paraId="227E5A8F">
      <w:pPr>
        <w:pStyle w:val="79"/>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6F2D19C2">
      <w:pPr>
        <w:pStyle w:val="79"/>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具备履行合同所必需的设备和专业技术能力的书面声明</w:t>
      </w:r>
    </w:p>
    <w:p w14:paraId="179B8496">
      <w:pPr>
        <w:pStyle w:val="79"/>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68FB03D1">
      <w:pPr>
        <w:pStyle w:val="79"/>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 </w:t>
      </w:r>
    </w:p>
    <w:p w14:paraId="3CA0E635">
      <w:pPr>
        <w:pStyle w:val="79"/>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15AEA1F0">
      <w:pPr>
        <w:pStyle w:val="79"/>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我单位郑重声明： 我单位具备履行本项采购合同所必需的设备和专业技术能力。 </w:t>
      </w:r>
    </w:p>
    <w:p w14:paraId="1D187F36">
      <w:pPr>
        <w:pStyle w:val="79"/>
        <w:wordWrap/>
        <w:overflowPunct/>
        <w:topLinePunct w:val="0"/>
        <w:bidi w:val="0"/>
        <w:spacing w:before="360" w:after="360" w:line="300" w:lineRule="auto"/>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7B3F79DF">
      <w:pPr>
        <w:pStyle w:val="79"/>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74A4E5F2">
      <w:pPr>
        <w:pStyle w:val="79"/>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738EDC6C">
      <w:pPr>
        <w:pStyle w:val="79"/>
        <w:wordWrap/>
        <w:overflowPunct/>
        <w:topLinePunct w:val="0"/>
        <w:bidi w:val="0"/>
        <w:spacing w:before="360" w:after="360" w:line="300" w:lineRule="auto"/>
        <w:jc w:val="center"/>
        <w:rPr>
          <w:rStyle w:val="21"/>
          <w:rFonts w:hint="default" w:ascii="Times New Roman" w:hAnsi="Times New Roman" w:eastAsia="宋体" w:cs="Times New Roman"/>
          <w:color w:val="auto"/>
          <w:sz w:val="36"/>
          <w:szCs w:val="36"/>
          <w:highlight w:val="none"/>
        </w:rPr>
      </w:pPr>
      <w:r>
        <w:rPr>
          <w:rStyle w:val="21"/>
          <w:rFonts w:hint="default" w:ascii="Times New Roman" w:hAnsi="Times New Roman" w:eastAsia="宋体" w:cs="Times New Roman"/>
          <w:color w:val="auto"/>
          <w:sz w:val="36"/>
          <w:szCs w:val="36"/>
          <w:highlight w:val="none"/>
        </w:rPr>
        <w:t> </w:t>
      </w:r>
    </w:p>
    <w:p w14:paraId="4C713F23">
      <w:pPr>
        <w:pStyle w:val="79"/>
        <w:wordWrap/>
        <w:overflowPunct/>
        <w:topLinePunct w:val="0"/>
        <w:bidi w:val="0"/>
        <w:spacing w:before="210" w:after="210" w:line="300" w:lineRule="auto"/>
        <w:rPr>
          <w:rStyle w:val="21"/>
          <w:rFonts w:hint="default" w:ascii="Times New Roman" w:hAnsi="Times New Roman" w:eastAsia="宋体" w:cs="Times New Roman"/>
          <w:color w:val="auto"/>
          <w:sz w:val="21"/>
          <w:szCs w:val="21"/>
          <w:highlight w:val="none"/>
        </w:rPr>
      </w:pPr>
      <w:r>
        <w:rPr>
          <w:rStyle w:val="21"/>
          <w:rFonts w:hint="default" w:ascii="Times New Roman" w:hAnsi="Times New Roman" w:eastAsia="宋体" w:cs="Times New Roman"/>
          <w:color w:val="auto"/>
          <w:sz w:val="21"/>
          <w:szCs w:val="21"/>
          <w:highlight w:val="none"/>
        </w:rPr>
        <w:t> 投标单位（加盖公章）：   </w:t>
      </w:r>
    </w:p>
    <w:p w14:paraId="153000F6">
      <w:pPr>
        <w:pStyle w:val="80"/>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参加政府采购活动前3年内在经营活动中没有重大违法记录的书面声明</w:t>
      </w:r>
    </w:p>
    <w:p w14:paraId="67A9D1B7">
      <w:pPr>
        <w:pStyle w:val="81"/>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39B5C6C1">
      <w:pPr>
        <w:pStyle w:val="81"/>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参加政府采购活动前3年内在经营活动中没有重大违法记录的书面声明</w:t>
      </w:r>
    </w:p>
    <w:p w14:paraId="2F399471">
      <w:pPr>
        <w:pStyle w:val="8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02E76AF1">
      <w:pPr>
        <w:pStyle w:val="81"/>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 </w:t>
      </w:r>
    </w:p>
    <w:p w14:paraId="7FCA0D88">
      <w:pPr>
        <w:pStyle w:val="81"/>
        <w:wordWrap/>
        <w:overflowPunct/>
        <w:topLinePunct w:val="0"/>
        <w:bidi w:val="0"/>
        <w:spacing w:before="320" w:after="320" w:line="300" w:lineRule="auto"/>
        <w:jc w:val="center"/>
        <w:rPr>
          <w:rStyle w:val="21"/>
          <w:rFonts w:hint="default" w:ascii="Times New Roman" w:hAnsi="Times New Roman" w:eastAsia="宋体" w:cs="Times New Roman"/>
          <w:color w:val="auto"/>
          <w:sz w:val="32"/>
          <w:szCs w:val="32"/>
          <w:highlight w:val="none"/>
        </w:rPr>
      </w:pPr>
      <w:r>
        <w:rPr>
          <w:rStyle w:val="21"/>
          <w:rFonts w:hint="default" w:ascii="Times New Roman" w:hAnsi="Times New Roman" w:eastAsia="宋体" w:cs="Times New Roman"/>
          <w:color w:val="auto"/>
          <w:sz w:val="32"/>
          <w:szCs w:val="32"/>
          <w:highlight w:val="none"/>
        </w:rPr>
        <w:t>声明</w:t>
      </w:r>
    </w:p>
    <w:p w14:paraId="015D4553">
      <w:pPr>
        <w:pStyle w:val="8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77856AF9">
      <w:pPr>
        <w:pStyle w:val="8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1E2153D4">
      <w:pPr>
        <w:pStyle w:val="8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16BEDCC7">
      <w:pPr>
        <w:pStyle w:val="81"/>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1D54DC18">
      <w:pPr>
        <w:pStyle w:val="81"/>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02E33ADF">
      <w:pPr>
        <w:pStyle w:val="81"/>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2BB52B10">
      <w:pPr>
        <w:pStyle w:val="8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投标单位（加盖公章）：   </w:t>
      </w:r>
    </w:p>
    <w:p w14:paraId="5FB8DBA0">
      <w:pPr>
        <w:pStyle w:val="82"/>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授权委托书</w:t>
      </w:r>
    </w:p>
    <w:p w14:paraId="5898A00C">
      <w:pPr>
        <w:pStyle w:val="83"/>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5DDD5E7F">
      <w:pPr>
        <w:pStyle w:val="83"/>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授权委托书</w:t>
      </w:r>
    </w:p>
    <w:p w14:paraId="763FA004">
      <w:pPr>
        <w:pStyle w:val="8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15747A90">
      <w:pPr>
        <w:pStyle w:val="83"/>
        <w:wordWrap/>
        <w:overflowPunct/>
        <w:topLinePunct w:val="0"/>
        <w:bidi w:val="0"/>
        <w:spacing w:before="240" w:after="240" w:line="300" w:lineRule="auto"/>
        <w:ind w:firstLine="50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本授权书声明：   （投标人名称）授权</w:t>
      </w:r>
      <w:bookmarkStart w:id="266" w:name="sys_STR"/>
      <w:bookmarkEnd w:id="266"/>
      <w:r>
        <w:rPr>
          <w:rStyle w:val="21"/>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p>
    <w:p w14:paraId="1680BCE3">
      <w:pPr>
        <w:pStyle w:val="83"/>
        <w:wordWrap/>
        <w:overflowPunct/>
        <w:topLinePunct w:val="0"/>
        <w:bidi w:val="0"/>
        <w:spacing w:before="240" w:after="240" w:line="300" w:lineRule="auto"/>
        <w:ind w:firstLine="50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本授权书于   起生效，特此声明。  </w:t>
      </w:r>
    </w:p>
    <w:p w14:paraId="0CF01316">
      <w:pPr>
        <w:pStyle w:val="8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018C5D00">
      <w:pPr>
        <w:pStyle w:val="83"/>
        <w:wordWrap/>
        <w:overflowPunct/>
        <w:topLinePunct w:val="0"/>
        <w:bidi w:val="0"/>
        <w:spacing w:before="240" w:after="240" w:line="300" w:lineRule="auto"/>
        <w:ind w:firstLine="357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被授权人身份证号码：   </w:t>
      </w:r>
    </w:p>
    <w:p w14:paraId="3B51257E">
      <w:pPr>
        <w:pStyle w:val="83"/>
        <w:wordWrap/>
        <w:overflowPunct/>
        <w:topLinePunct w:val="0"/>
        <w:bidi w:val="0"/>
        <w:spacing w:before="240" w:after="240" w:line="300" w:lineRule="auto"/>
        <w:ind w:firstLine="357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被授权人联系电话：（手机）   </w:t>
      </w:r>
    </w:p>
    <w:p w14:paraId="0A8E95C6">
      <w:pPr>
        <w:pStyle w:val="83"/>
        <w:wordWrap/>
        <w:overflowPunct/>
        <w:topLinePunct w:val="0"/>
        <w:bidi w:val="0"/>
        <w:spacing w:before="240" w:after="240" w:line="300" w:lineRule="auto"/>
        <w:ind w:firstLine="357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授权单位名称：   （加盖公章）</w:t>
      </w:r>
    </w:p>
    <w:p w14:paraId="51B04693">
      <w:pPr>
        <w:pStyle w:val="83"/>
        <w:wordWrap/>
        <w:overflowPunct/>
        <w:topLinePunct w:val="0"/>
        <w:bidi w:val="0"/>
        <w:spacing w:before="240" w:after="240" w:line="300" w:lineRule="auto"/>
        <w:ind w:firstLine="357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单位地址：   </w:t>
      </w:r>
    </w:p>
    <w:p w14:paraId="3F350F30">
      <w:pPr>
        <w:pStyle w:val="83"/>
        <w:wordWrap/>
        <w:overflowPunct/>
        <w:topLinePunct w:val="0"/>
        <w:bidi w:val="0"/>
        <w:spacing w:before="240" w:after="240" w:line="300" w:lineRule="auto"/>
        <w:ind w:firstLine="4830"/>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日期：   </w:t>
      </w:r>
    </w:p>
    <w:p w14:paraId="2F9B7DE0">
      <w:pPr>
        <w:pStyle w:val="84"/>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关于资格证明文件的书面承诺</w:t>
      </w:r>
    </w:p>
    <w:p w14:paraId="56082C2D">
      <w:pPr>
        <w:pStyle w:val="85"/>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003E7F5E">
      <w:pPr>
        <w:pStyle w:val="85"/>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7AA856A0">
      <w:pPr>
        <w:pStyle w:val="85"/>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关于资格证明文件的书面承诺</w:t>
      </w:r>
    </w:p>
    <w:p w14:paraId="48BDFB6C">
      <w:pPr>
        <w:pStyle w:val="85"/>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6C3BF62B">
      <w:pPr>
        <w:pStyle w:val="85"/>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 </w:t>
      </w:r>
    </w:p>
    <w:p w14:paraId="571A1D0B">
      <w:pPr>
        <w:pStyle w:val="85"/>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21A5C508">
      <w:pPr>
        <w:pStyle w:val="85"/>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0C202EF">
      <w:pPr>
        <w:pStyle w:val="85"/>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5F031664">
      <w:pPr>
        <w:pStyle w:val="85"/>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5C9DD5CB">
      <w:pPr>
        <w:pStyle w:val="85"/>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3AFD0194">
      <w:pPr>
        <w:pStyle w:val="85"/>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2F3EA032">
      <w:pPr>
        <w:pStyle w:val="85"/>
        <w:wordWrap/>
        <w:overflowPunct/>
        <w:topLinePunct w:val="0"/>
        <w:bidi w:val="0"/>
        <w:spacing w:before="240" w:after="240" w:line="300" w:lineRule="auto"/>
        <w:jc w:val="right"/>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投标单位（加盖公章）：   </w:t>
      </w:r>
    </w:p>
    <w:p w14:paraId="43EF88E7">
      <w:pPr>
        <w:pStyle w:val="18"/>
        <w:wordWrap/>
        <w:overflowPunct/>
        <w:topLinePunct w:val="0"/>
        <w:bidi w:val="0"/>
        <w:spacing w:line="300" w:lineRule="auto"/>
        <w:jc w:val="center"/>
        <w:rPr>
          <w:rFonts w:hint="default" w:ascii="Times New Roman" w:hAnsi="Times New Roman" w:eastAsia="宋体" w:cs="Times New Roman"/>
          <w:color w:val="auto"/>
          <w:highlight w:val="none"/>
          <w:lang w:val="en-US" w:eastAsia="zh-CN"/>
        </w:rPr>
      </w:pPr>
      <w:r>
        <w:rPr>
          <w:rStyle w:val="21"/>
          <w:rFonts w:hint="default" w:ascii="Times New Roman" w:hAnsi="Times New Roman" w:eastAsia="宋体" w:cs="Times New Roman"/>
          <w:color w:val="auto"/>
          <w:highlight w:val="none"/>
        </w:rPr>
        <w:br w:type="page"/>
      </w:r>
      <w:bookmarkStart w:id="267" w:name="_Toc9951"/>
      <w:r>
        <w:rPr>
          <w:rFonts w:hint="default" w:ascii="Times New Roman" w:hAnsi="Times New Roman" w:eastAsia="宋体" w:cs="Times New Roman"/>
          <w:b/>
          <w:bCs/>
          <w:color w:val="auto"/>
          <w:sz w:val="32"/>
          <w:szCs w:val="32"/>
          <w:highlight w:val="none"/>
          <w:lang w:val="en-US" w:eastAsia="zh-CN" w:bidi="ar-SA"/>
        </w:rPr>
        <w:t>承诺书</w:t>
      </w:r>
      <w:bookmarkEnd w:id="267"/>
    </w:p>
    <w:p w14:paraId="3CABF046">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我单位郑重声明：与参与本项目招标的其他投标人不存在控股、管理关系或单位负责人为同一人的情形。</w:t>
      </w:r>
    </w:p>
    <w:p w14:paraId="0C220F80">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455EB8FC">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7DF5CB7E">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p>
    <w:p w14:paraId="12FB721E">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sectPr>
          <w:footerReference r:id="rId9" w:type="first"/>
          <w:footerReference r:id="rId8" w:type="default"/>
          <w:pgSz w:w="11906" w:h="16838"/>
          <w:pgMar w:top="1440" w:right="1080" w:bottom="1440" w:left="1080" w:header="851" w:footer="992" w:gutter="0"/>
          <w:cols w:space="720" w:num="1"/>
          <w:titlePg/>
          <w:docGrid w:type="lines" w:linePitch="312" w:charSpace="0"/>
        </w:sectPr>
      </w:pPr>
      <w:r>
        <w:rPr>
          <w:rFonts w:hint="default" w:ascii="Times New Roman" w:hAnsi="Times New Roman" w:eastAsia="宋体" w:cs="Times New Roman"/>
          <w:color w:val="auto"/>
          <w:sz w:val="24"/>
          <w:szCs w:val="24"/>
          <w:highlight w:val="none"/>
          <w:lang w:val="en-US" w:eastAsia="zh-CN"/>
        </w:rPr>
        <w:t xml:space="preserve">                                                        年   月   日</w:t>
      </w:r>
    </w:p>
    <w:p w14:paraId="4B0D407A">
      <w:pPr>
        <w:pStyle w:val="84"/>
        <w:wordWrap/>
        <w:overflowPunct/>
        <w:topLinePunct w:val="0"/>
        <w:bidi w:val="0"/>
        <w:spacing w:line="300" w:lineRule="auto"/>
        <w:jc w:val="left"/>
        <w:outlineLvl w:val="2"/>
        <w:rPr>
          <w:rStyle w:val="21"/>
          <w:rFonts w:hint="default" w:ascii="Times New Roman" w:hAnsi="Times New Roman" w:eastAsia="宋体" w:cs="Times New Roman"/>
          <w:b/>
          <w:color w:val="auto"/>
          <w:sz w:val="28"/>
          <w:highlight w:val="none"/>
          <w:lang w:val="en-US" w:eastAsia="zh-CN"/>
        </w:rPr>
      </w:pPr>
      <w:r>
        <w:rPr>
          <w:rStyle w:val="21"/>
          <w:rFonts w:hint="default" w:ascii="Times New Roman" w:hAnsi="Times New Roman" w:eastAsia="宋体" w:cs="Times New Roman"/>
          <w:b/>
          <w:color w:val="auto"/>
          <w:sz w:val="28"/>
          <w:highlight w:val="none"/>
          <w:lang w:val="en-US" w:eastAsia="zh-CN"/>
        </w:rPr>
        <w:t>未被</w:t>
      </w:r>
      <w:r>
        <w:rPr>
          <w:rStyle w:val="21"/>
          <w:rFonts w:hint="eastAsia" w:ascii="Times New Roman" w:hAnsi="Times New Roman" w:eastAsia="宋体" w:cs="Times New Roman"/>
          <w:b/>
          <w:color w:val="auto"/>
          <w:sz w:val="28"/>
          <w:highlight w:val="none"/>
          <w:lang w:val="en-US" w:eastAsia="zh-CN"/>
        </w:rPr>
        <w:t>“</w:t>
      </w:r>
      <w:r>
        <w:rPr>
          <w:rStyle w:val="21"/>
          <w:rFonts w:hint="default" w:ascii="Times New Roman" w:hAnsi="Times New Roman" w:eastAsia="宋体" w:cs="Times New Roman"/>
          <w:b/>
          <w:color w:val="auto"/>
          <w:sz w:val="28"/>
          <w:highlight w:val="none"/>
          <w:lang w:val="en-US" w:eastAsia="zh-CN"/>
        </w:rPr>
        <w:t>信用中国</w:t>
      </w:r>
      <w:r>
        <w:rPr>
          <w:rStyle w:val="21"/>
          <w:rFonts w:hint="eastAsia" w:ascii="Times New Roman" w:hAnsi="Times New Roman" w:eastAsia="宋体" w:cs="Times New Roman"/>
          <w:b/>
          <w:color w:val="auto"/>
          <w:sz w:val="28"/>
          <w:highlight w:val="none"/>
          <w:lang w:val="en-US" w:eastAsia="zh-CN"/>
        </w:rPr>
        <w:t>”</w:t>
      </w:r>
      <w:r>
        <w:rPr>
          <w:rStyle w:val="21"/>
          <w:rFonts w:hint="default" w:ascii="Times New Roman" w:hAnsi="Times New Roman" w:eastAsia="宋体" w:cs="Times New Roman"/>
          <w:b/>
          <w:color w:val="auto"/>
          <w:sz w:val="28"/>
          <w:highlight w:val="none"/>
          <w:lang w:val="en-US" w:eastAsia="zh-CN"/>
        </w:rPr>
        <w:t>网站（www.creditchina.gov.cn）列入失信被执行人、重大税收违法案件当事人名单、政府采购严重失信行为记录名单。</w:t>
      </w:r>
    </w:p>
    <w:p w14:paraId="0F3F09A9">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6CB6BCEF">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61225472">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65251B52">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3EF6202C">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0FA034C7">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40CA166F">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289AEDC3">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5B375472">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10021F2E">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6A4F8F55">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22D7C66F">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5A53CEE7">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0C8D23B1">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5FACD21F">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3EEA8D60">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43A1E432">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pPr>
    </w:p>
    <w:p w14:paraId="61BB5027">
      <w:pPr>
        <w:pStyle w:val="86"/>
        <w:wordWrap/>
        <w:overflowPunct/>
        <w:topLinePunct w:val="0"/>
        <w:bidi w:val="0"/>
        <w:spacing w:line="300" w:lineRule="auto"/>
        <w:jc w:val="left"/>
        <w:outlineLvl w:val="1"/>
        <w:rPr>
          <w:rStyle w:val="21"/>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bookmarkStart w:id="268" w:name="_Toc15629"/>
    </w:p>
    <w:p w14:paraId="3D406429">
      <w:pPr>
        <w:pStyle w:val="86"/>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b/>
          <w:color w:val="auto"/>
          <w:sz w:val="32"/>
          <w:highlight w:val="none"/>
        </w:rPr>
        <w:t>五、投标配置及分项报价表</w:t>
      </w:r>
      <w:bookmarkEnd w:id="268"/>
    </w:p>
    <w:p w14:paraId="65D9DE59">
      <w:pPr>
        <w:pStyle w:val="87"/>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2F541075">
      <w:pPr>
        <w:pStyle w:val="87"/>
        <w:wordWrap/>
        <w:overflowPunct/>
        <w:topLinePunct w:val="0"/>
        <w:bidi w:val="0"/>
        <w:spacing w:before="400" w:after="400" w:line="300" w:lineRule="auto"/>
        <w:jc w:val="center"/>
        <w:rPr>
          <w:rStyle w:val="21"/>
          <w:rFonts w:hint="default" w:ascii="Times New Roman" w:hAnsi="Times New Roman" w:eastAsia="宋体" w:cs="Times New Roman"/>
          <w:b/>
          <w:bCs/>
          <w:color w:val="auto"/>
          <w:sz w:val="40"/>
          <w:szCs w:val="40"/>
          <w:highlight w:val="none"/>
        </w:rPr>
      </w:pPr>
      <w:r>
        <w:rPr>
          <w:rStyle w:val="21"/>
          <w:rFonts w:hint="default" w:ascii="Times New Roman" w:hAnsi="Times New Roman" w:eastAsia="宋体" w:cs="Times New Roman"/>
          <w:b/>
          <w:bCs/>
          <w:color w:val="auto"/>
          <w:sz w:val="40"/>
          <w:szCs w:val="40"/>
          <w:highlight w:val="none"/>
        </w:rPr>
        <w:t xml:space="preserve">投标配置及分项报价表 </w:t>
      </w:r>
    </w:p>
    <w:p w14:paraId="2EA2B441">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tbl>
      <w:tblPr>
        <w:tblStyle w:val="19"/>
        <w:tblW w:w="9814"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82"/>
        <w:gridCol w:w="1348"/>
        <w:gridCol w:w="838"/>
        <w:gridCol w:w="1003"/>
        <w:gridCol w:w="1007"/>
        <w:gridCol w:w="1007"/>
        <w:gridCol w:w="913"/>
        <w:gridCol w:w="581"/>
        <w:gridCol w:w="1254"/>
        <w:gridCol w:w="1281"/>
      </w:tblGrid>
      <w:tr w14:paraId="251BE37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30"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BB8B2B">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序号</w:t>
            </w: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C67EFE">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设备名称</w:t>
            </w:r>
          </w:p>
        </w:tc>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6B0736">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品牌</w:t>
            </w:r>
          </w:p>
        </w:tc>
        <w:tc>
          <w:tcPr>
            <w:tcW w:w="10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F62E48">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规格型号</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82658B5">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制造厂商</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9E8EF3">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产地</w:t>
            </w:r>
          </w:p>
        </w:tc>
        <w:tc>
          <w:tcPr>
            <w:tcW w:w="9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ED7E7AA">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数量</w:t>
            </w:r>
          </w:p>
        </w:tc>
        <w:tc>
          <w:tcPr>
            <w:tcW w:w="5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03F5EA1">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单位</w:t>
            </w:r>
          </w:p>
        </w:tc>
        <w:tc>
          <w:tcPr>
            <w:tcW w:w="12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E5D8C1">
            <w:pPr>
              <w:pStyle w:val="87"/>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单价（元）</w:t>
            </w:r>
          </w:p>
        </w:tc>
        <w:tc>
          <w:tcPr>
            <w:tcW w:w="1281"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2A321980">
            <w:pPr>
              <w:pStyle w:val="87"/>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总价（元）</w:t>
            </w:r>
          </w:p>
        </w:tc>
      </w:tr>
      <w:tr w14:paraId="26FFDE6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6"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4C4A4E">
            <w:pPr>
              <w:pStyle w:val="87"/>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r>
      <w:tr w14:paraId="3DE0837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030A2F">
            <w:pPr>
              <w:pStyle w:val="87"/>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C668CBC">
            <w:pPr>
              <w:pStyle w:val="87"/>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合计 </w:t>
            </w:r>
          </w:p>
        </w:tc>
        <w:tc>
          <w:tcPr>
            <w:tcW w:w="7884" w:type="dxa"/>
            <w:gridSpan w:val="8"/>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82ACB4">
            <w:pPr>
              <w:pStyle w:val="87"/>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   元(大写：   ) </w:t>
            </w:r>
          </w:p>
        </w:tc>
      </w:tr>
    </w:tbl>
    <w:p w14:paraId="51B3F6B0">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019185A1">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注： </w:t>
      </w:r>
    </w:p>
    <w:p w14:paraId="1496D027">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1、技术要求详见招标文件第四章项目需求；此表的总计金额应与开标一览表相符。 </w:t>
      </w:r>
    </w:p>
    <w:p w14:paraId="27DD53A2">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2、请提供本标书要求设备详细的配置清单及分项报价，包括标准件及选购件。 </w:t>
      </w:r>
    </w:p>
    <w:p w14:paraId="4031B942">
      <w:pPr>
        <w:pStyle w:val="87"/>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3、若无品牌，可填</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自制</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 xml:space="preserve">。 </w:t>
      </w:r>
    </w:p>
    <w:p w14:paraId="241AB2C4">
      <w:pPr>
        <w:pStyle w:val="88"/>
        <w:wordWrap/>
        <w:overflowPunct/>
        <w:topLinePunct w:val="0"/>
        <w:bidi w:val="0"/>
        <w:spacing w:line="300" w:lineRule="auto"/>
        <w:jc w:val="left"/>
        <w:outlineLvl w:val="1"/>
        <w:rPr>
          <w:rStyle w:val="21"/>
          <w:rFonts w:hint="default" w:ascii="Times New Roman" w:hAnsi="Times New Roman" w:eastAsia="宋体" w:cs="Times New Roman"/>
          <w:color w:val="auto"/>
          <w:highlight w:val="none"/>
          <w:lang w:val="en-US" w:eastAsia="zh-CN"/>
        </w:rPr>
      </w:pPr>
      <w:r>
        <w:rPr>
          <w:rStyle w:val="21"/>
          <w:rFonts w:hint="default" w:ascii="Times New Roman" w:hAnsi="Times New Roman" w:eastAsia="宋体" w:cs="Times New Roman"/>
          <w:color w:val="auto"/>
          <w:highlight w:val="none"/>
        </w:rPr>
        <w:br w:type="page"/>
      </w:r>
      <w:bookmarkStart w:id="269" w:name="_Toc31502"/>
      <w:r>
        <w:rPr>
          <w:rStyle w:val="21"/>
          <w:rFonts w:hint="default" w:ascii="Times New Roman" w:hAnsi="Times New Roman" w:eastAsia="宋体" w:cs="Times New Roman"/>
          <w:b/>
          <w:color w:val="auto"/>
          <w:kern w:val="2"/>
          <w:sz w:val="32"/>
          <w:szCs w:val="22"/>
          <w:highlight w:val="none"/>
          <w:lang w:val="en-US" w:eastAsia="zh-CN" w:bidi="ar-SA"/>
        </w:rPr>
        <w:t>六、常用</w:t>
      </w:r>
      <w:bookmarkEnd w:id="269"/>
      <w:r>
        <w:rPr>
          <w:rStyle w:val="21"/>
          <w:rFonts w:hint="eastAsia" w:ascii="Times New Roman" w:hAnsi="Times New Roman" w:eastAsia="宋体" w:cs="Times New Roman"/>
          <w:b/>
          <w:color w:val="auto"/>
          <w:kern w:val="2"/>
          <w:sz w:val="32"/>
          <w:szCs w:val="22"/>
          <w:highlight w:val="none"/>
          <w:lang w:val="en-US" w:eastAsia="zh-CN" w:bidi="ar-SA"/>
        </w:rPr>
        <w:t>仪器/系统对接接口费用报价单</w:t>
      </w:r>
    </w:p>
    <w:tbl>
      <w:tblPr>
        <w:tblStyle w:val="20"/>
        <w:tblpPr w:leftFromText="180" w:rightFromText="180" w:vertAnchor="page" w:horzAnchor="page" w:tblpX="1980" w:tblpY="2625"/>
        <w:tblOverlap w:val="never"/>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0"/>
        <w:gridCol w:w="4010"/>
      </w:tblGrid>
      <w:tr w14:paraId="4DD3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760" w:type="dxa"/>
            <w:gridSpan w:val="2"/>
            <w:vAlign w:val="center"/>
          </w:tcPr>
          <w:p w14:paraId="73E569FA">
            <w:pPr>
              <w:autoSpaceDE w:val="0"/>
              <w:autoSpaceDN w:val="0"/>
              <w:jc w:val="center"/>
              <w:rPr>
                <w:rStyle w:val="24"/>
                <w:rFonts w:hint="default" w:eastAsia="宋体"/>
                <w:b/>
                <w:bCs/>
                <w:color w:val="auto"/>
                <w:sz w:val="24"/>
                <w:szCs w:val="24"/>
                <w:highlight w:val="none"/>
                <w:vertAlign w:val="baseline"/>
                <w:lang w:val="en-US" w:eastAsia="zh-CN"/>
              </w:rPr>
            </w:pPr>
            <w:r>
              <w:rPr>
                <w:rStyle w:val="24"/>
                <w:rFonts w:hint="eastAsia" w:eastAsia="宋体"/>
                <w:b/>
                <w:bCs/>
                <w:color w:val="auto"/>
                <w:sz w:val="24"/>
                <w:szCs w:val="24"/>
                <w:highlight w:val="none"/>
                <w:vertAlign w:val="baseline"/>
                <w:lang w:val="en-US" w:eastAsia="zh-CN"/>
              </w:rPr>
              <w:t>仪器接口（具体价格根据实际情况具体议价，</w:t>
            </w:r>
            <w:r>
              <w:rPr>
                <w:rStyle w:val="24"/>
                <w:rFonts w:hint="eastAsia"/>
                <w:b/>
                <w:bCs/>
                <w:color w:val="auto"/>
                <w:sz w:val="24"/>
                <w:szCs w:val="24"/>
                <w:highlight w:val="none"/>
                <w:vertAlign w:val="baseline"/>
                <w:lang w:val="en-US" w:eastAsia="zh-CN"/>
              </w:rPr>
              <w:t>但</w:t>
            </w:r>
            <w:r>
              <w:rPr>
                <w:rStyle w:val="24"/>
                <w:rFonts w:hint="eastAsia" w:eastAsia="宋体"/>
                <w:b/>
                <w:bCs/>
                <w:color w:val="auto"/>
                <w:sz w:val="24"/>
                <w:szCs w:val="24"/>
                <w:highlight w:val="none"/>
                <w:vertAlign w:val="baseline"/>
                <w:lang w:val="en-US" w:eastAsia="zh-CN"/>
              </w:rPr>
              <w:t>不高于本表价格）</w:t>
            </w:r>
          </w:p>
        </w:tc>
      </w:tr>
      <w:tr w14:paraId="44CD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53B7C616">
            <w:pPr>
              <w:autoSpaceDE w:val="0"/>
              <w:autoSpaceDN w:val="0"/>
              <w:jc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单向</w:t>
            </w:r>
          </w:p>
        </w:tc>
        <w:tc>
          <w:tcPr>
            <w:tcW w:w="4010" w:type="dxa"/>
            <w:vAlign w:val="center"/>
          </w:tcPr>
          <w:p w14:paraId="316A69E6">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w:t>
            </w:r>
            <w:r>
              <w:rPr>
                <w:rStyle w:val="24"/>
                <w:rFonts w:hint="eastAsia" w:eastAsia="宋体"/>
                <w:color w:val="auto"/>
                <w:sz w:val="24"/>
                <w:szCs w:val="24"/>
                <w:highlight w:val="none"/>
                <w:vertAlign w:val="baseline"/>
                <w:lang w:val="en-US" w:eastAsia="zh-CN"/>
              </w:rPr>
              <w:t>台</w:t>
            </w:r>
          </w:p>
        </w:tc>
      </w:tr>
      <w:tr w14:paraId="49F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57F46CE7">
            <w:pPr>
              <w:autoSpaceDE w:val="0"/>
              <w:autoSpaceDN w:val="0"/>
              <w:jc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双向</w:t>
            </w:r>
          </w:p>
        </w:tc>
        <w:tc>
          <w:tcPr>
            <w:tcW w:w="4010" w:type="dxa"/>
            <w:vAlign w:val="center"/>
          </w:tcPr>
          <w:p w14:paraId="77C7FDAB">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w:t>
            </w:r>
            <w:r>
              <w:rPr>
                <w:rStyle w:val="24"/>
                <w:rFonts w:hint="eastAsia" w:eastAsia="宋体"/>
                <w:color w:val="auto"/>
                <w:sz w:val="24"/>
                <w:szCs w:val="24"/>
                <w:highlight w:val="none"/>
                <w:vertAlign w:val="baseline"/>
                <w:lang w:val="en-US" w:eastAsia="zh-CN"/>
              </w:rPr>
              <w:t>台</w:t>
            </w:r>
          </w:p>
        </w:tc>
      </w:tr>
      <w:tr w14:paraId="01CC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2038A317">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自助报告打印机接口（pdf模式）</w:t>
            </w:r>
          </w:p>
        </w:tc>
        <w:tc>
          <w:tcPr>
            <w:tcW w:w="4010" w:type="dxa"/>
            <w:vAlign w:val="center"/>
          </w:tcPr>
          <w:p w14:paraId="443051C3">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w:t>
            </w:r>
            <w:r>
              <w:rPr>
                <w:rStyle w:val="24"/>
                <w:rFonts w:hint="eastAsia" w:eastAsia="宋体"/>
                <w:color w:val="auto"/>
                <w:sz w:val="24"/>
                <w:szCs w:val="24"/>
                <w:highlight w:val="none"/>
                <w:vertAlign w:val="baseline"/>
                <w:lang w:val="en-US" w:eastAsia="zh-CN"/>
              </w:rPr>
              <w:t>台</w:t>
            </w:r>
          </w:p>
        </w:tc>
      </w:tr>
      <w:tr w14:paraId="0E1B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04D9604B">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 xml:space="preserve">大生化或大免疫或采血流水线 </w:t>
            </w:r>
          </w:p>
        </w:tc>
        <w:tc>
          <w:tcPr>
            <w:tcW w:w="4010" w:type="dxa"/>
            <w:vAlign w:val="center"/>
          </w:tcPr>
          <w:p w14:paraId="556FEDBA">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元/条</w:t>
            </w:r>
          </w:p>
        </w:tc>
      </w:tr>
      <w:tr w14:paraId="22A9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60FF93D3">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血球或血凝流水线</w:t>
            </w:r>
          </w:p>
        </w:tc>
        <w:tc>
          <w:tcPr>
            <w:tcW w:w="4010" w:type="dxa"/>
            <w:vAlign w:val="center"/>
          </w:tcPr>
          <w:p w14:paraId="40356944">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元/条</w:t>
            </w:r>
          </w:p>
        </w:tc>
      </w:tr>
      <w:tr w14:paraId="18FBE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3EFCAAE0">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尿液流水线</w:t>
            </w:r>
          </w:p>
        </w:tc>
        <w:tc>
          <w:tcPr>
            <w:tcW w:w="4010" w:type="dxa"/>
            <w:vAlign w:val="center"/>
          </w:tcPr>
          <w:p w14:paraId="51798622">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元/条</w:t>
            </w:r>
          </w:p>
        </w:tc>
      </w:tr>
      <w:tr w14:paraId="11AE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1BB4D7E1">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vertAlign w:val="baseline"/>
                <w:lang w:val="en-US" w:eastAsia="zh-CN"/>
              </w:rPr>
              <w:t>第三方检验中心接口（如迪安/艾迪康）</w:t>
            </w:r>
          </w:p>
        </w:tc>
        <w:tc>
          <w:tcPr>
            <w:tcW w:w="4010" w:type="dxa"/>
            <w:vAlign w:val="center"/>
          </w:tcPr>
          <w:p w14:paraId="44DAD438">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5A0D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760" w:type="dxa"/>
            <w:gridSpan w:val="2"/>
            <w:vAlign w:val="center"/>
          </w:tcPr>
          <w:p w14:paraId="714BAE83">
            <w:pPr>
              <w:autoSpaceDE w:val="0"/>
              <w:autoSpaceDN w:val="0"/>
              <w:jc w:val="center"/>
              <w:rPr>
                <w:rStyle w:val="24"/>
                <w:rFonts w:hint="default" w:eastAsia="宋体"/>
                <w:color w:val="auto"/>
                <w:sz w:val="24"/>
                <w:szCs w:val="24"/>
                <w:highlight w:val="none"/>
                <w:vertAlign w:val="baseline"/>
                <w:lang w:val="en-US" w:eastAsia="zh-CN"/>
              </w:rPr>
            </w:pPr>
            <w:r>
              <w:rPr>
                <w:rStyle w:val="24"/>
                <w:rFonts w:hint="eastAsia" w:eastAsia="宋体"/>
                <w:b/>
                <w:bCs/>
                <w:color w:val="auto"/>
                <w:sz w:val="24"/>
                <w:szCs w:val="24"/>
                <w:highlight w:val="none"/>
                <w:vertAlign w:val="baseline"/>
                <w:lang w:val="en-US" w:eastAsia="zh-CN"/>
              </w:rPr>
              <w:t>第三方系统接口（具体价格根据实际情况具体议价，</w:t>
            </w:r>
            <w:r>
              <w:rPr>
                <w:rStyle w:val="24"/>
                <w:rFonts w:hint="eastAsia"/>
                <w:b/>
                <w:bCs/>
                <w:color w:val="auto"/>
                <w:sz w:val="24"/>
                <w:szCs w:val="24"/>
                <w:highlight w:val="none"/>
                <w:vertAlign w:val="baseline"/>
                <w:lang w:val="en-US" w:eastAsia="zh-CN"/>
              </w:rPr>
              <w:t>但</w:t>
            </w:r>
            <w:r>
              <w:rPr>
                <w:rStyle w:val="24"/>
                <w:rFonts w:hint="eastAsia" w:eastAsia="宋体"/>
                <w:b/>
                <w:bCs/>
                <w:color w:val="auto"/>
                <w:sz w:val="24"/>
                <w:szCs w:val="24"/>
                <w:highlight w:val="none"/>
                <w:vertAlign w:val="baseline"/>
                <w:lang w:val="en-US" w:eastAsia="zh-CN"/>
              </w:rPr>
              <w:t>不高于本表价格）</w:t>
            </w:r>
          </w:p>
        </w:tc>
      </w:tr>
      <w:tr w14:paraId="6DCD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50AA49CD">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CA接口（亦叫电子签名）</w:t>
            </w:r>
          </w:p>
        </w:tc>
        <w:tc>
          <w:tcPr>
            <w:tcW w:w="4010" w:type="dxa"/>
            <w:vAlign w:val="center"/>
          </w:tcPr>
          <w:p w14:paraId="0A7754E8">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52DE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7B8AF7C1">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HIS接口</w:t>
            </w:r>
          </w:p>
        </w:tc>
        <w:tc>
          <w:tcPr>
            <w:tcW w:w="4010" w:type="dxa"/>
            <w:vAlign w:val="center"/>
          </w:tcPr>
          <w:p w14:paraId="2A530EA1">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6498B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699F82A9">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体检接口</w:t>
            </w:r>
          </w:p>
        </w:tc>
        <w:tc>
          <w:tcPr>
            <w:tcW w:w="4010" w:type="dxa"/>
            <w:vAlign w:val="center"/>
          </w:tcPr>
          <w:p w14:paraId="169CD848">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1515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4AFEBDCA">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集成平台接口</w:t>
            </w:r>
          </w:p>
        </w:tc>
        <w:tc>
          <w:tcPr>
            <w:tcW w:w="4010" w:type="dxa"/>
            <w:vAlign w:val="center"/>
          </w:tcPr>
          <w:p w14:paraId="7D5CEBDB">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335D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297E656B">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区域平台接口</w:t>
            </w:r>
          </w:p>
        </w:tc>
        <w:tc>
          <w:tcPr>
            <w:tcW w:w="4010" w:type="dxa"/>
            <w:vAlign w:val="center"/>
          </w:tcPr>
          <w:p w14:paraId="29526F5C">
            <w:pPr>
              <w:keepNext w:val="0"/>
              <w:keepLines w:val="0"/>
              <w:widowControl/>
              <w:suppressLineNumbers w:val="0"/>
              <w:autoSpaceDE w:val="0"/>
              <w:autoSpaceDN w:val="0"/>
              <w:jc w:val="center"/>
              <w:textAlignment w:val="center"/>
              <w:rPr>
                <w:rStyle w:val="24"/>
                <w:rFonts w:hint="default"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693F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31434D6B">
            <w:pPr>
              <w:keepNext w:val="0"/>
              <w:keepLines w:val="0"/>
              <w:widowControl/>
              <w:suppressLineNumbers w:val="0"/>
              <w:autoSpaceDE w:val="0"/>
              <w:autoSpaceDN w:val="0"/>
              <w:jc w:val="center"/>
              <w:textAlignment w:val="center"/>
              <w:rPr>
                <w:rStyle w:val="24"/>
                <w:rFonts w:hint="default"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危急值接口</w:t>
            </w:r>
          </w:p>
        </w:tc>
        <w:tc>
          <w:tcPr>
            <w:tcW w:w="4010" w:type="dxa"/>
            <w:vAlign w:val="center"/>
          </w:tcPr>
          <w:p w14:paraId="2045BCDA">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4987D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1361DF93">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手麻接口</w:t>
            </w:r>
          </w:p>
        </w:tc>
        <w:tc>
          <w:tcPr>
            <w:tcW w:w="4010" w:type="dxa"/>
            <w:vAlign w:val="center"/>
          </w:tcPr>
          <w:p w14:paraId="479ECB9F">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2555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666F0C06">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病案归档管理系统</w:t>
            </w:r>
          </w:p>
        </w:tc>
        <w:tc>
          <w:tcPr>
            <w:tcW w:w="4010" w:type="dxa"/>
            <w:vAlign w:val="center"/>
          </w:tcPr>
          <w:p w14:paraId="360B5FDE">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780B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4750" w:type="dxa"/>
            <w:vAlign w:val="center"/>
          </w:tcPr>
          <w:p w14:paraId="26B7F894">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院感接口</w:t>
            </w:r>
          </w:p>
        </w:tc>
        <w:tc>
          <w:tcPr>
            <w:tcW w:w="4010" w:type="dxa"/>
            <w:vAlign w:val="center"/>
          </w:tcPr>
          <w:p w14:paraId="458E63D2">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r w14:paraId="570B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750" w:type="dxa"/>
            <w:vAlign w:val="center"/>
          </w:tcPr>
          <w:p w14:paraId="54A754F7">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健康信息平台接口</w:t>
            </w:r>
          </w:p>
        </w:tc>
        <w:tc>
          <w:tcPr>
            <w:tcW w:w="4010" w:type="dxa"/>
            <w:vAlign w:val="center"/>
          </w:tcPr>
          <w:p w14:paraId="1DA1908D">
            <w:pPr>
              <w:keepNext w:val="0"/>
              <w:keepLines w:val="0"/>
              <w:widowControl/>
              <w:suppressLineNumbers w:val="0"/>
              <w:autoSpaceDE w:val="0"/>
              <w:autoSpaceDN w:val="0"/>
              <w:jc w:val="center"/>
              <w:textAlignment w:val="center"/>
              <w:rPr>
                <w:rStyle w:val="24"/>
                <w:rFonts w:hint="eastAsia" w:eastAsia="宋体"/>
                <w:color w:val="auto"/>
                <w:sz w:val="24"/>
                <w:szCs w:val="24"/>
                <w:highlight w:val="none"/>
                <w:vertAlign w:val="baseline"/>
                <w:lang w:val="en-US" w:eastAsia="zh-CN"/>
              </w:rPr>
            </w:pPr>
            <w:r>
              <w:rPr>
                <w:rStyle w:val="24"/>
                <w:rFonts w:hint="eastAsia" w:eastAsia="宋体"/>
                <w:color w:val="auto"/>
                <w:sz w:val="24"/>
                <w:szCs w:val="24"/>
                <w:highlight w:val="none"/>
                <w:u w:val="single"/>
                <w:vertAlign w:val="baseline"/>
                <w:lang w:val="en-US" w:eastAsia="zh-CN"/>
              </w:rPr>
              <w:t xml:space="preserve">    </w:t>
            </w:r>
            <w:r>
              <w:rPr>
                <w:rStyle w:val="24"/>
                <w:rFonts w:hint="eastAsia" w:eastAsia="宋体"/>
                <w:color w:val="auto"/>
                <w:sz w:val="24"/>
                <w:szCs w:val="24"/>
                <w:highlight w:val="none"/>
                <w:u w:val="none"/>
                <w:vertAlign w:val="baseline"/>
                <w:lang w:val="en-US" w:eastAsia="zh-CN"/>
              </w:rPr>
              <w:t>元/个</w:t>
            </w:r>
          </w:p>
        </w:tc>
      </w:tr>
    </w:tbl>
    <w:p w14:paraId="4D415E34">
      <w:pPr>
        <w:pStyle w:val="89"/>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kern w:val="2"/>
          <w:sz w:val="21"/>
          <w:szCs w:val="22"/>
          <w:highlight w:val="none"/>
          <w:lang w:val="en-US" w:eastAsia="zh-CN" w:bidi="ar-SA"/>
        </w:rPr>
        <w:t> </w:t>
      </w:r>
    </w:p>
    <w:p w14:paraId="5B24B034">
      <w:pPr>
        <w:pStyle w:val="89"/>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p>
    <w:p w14:paraId="626D6374">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68A2DC21">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54A08EFE">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6E0C7620">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449508D9">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0274681A">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16DD294F">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7DA07DB8">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15718BBE">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065BE761">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65B74C15">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3CD506F4">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7AC3ABF0">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7756F884">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309B820A">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5D909735">
      <w:pPr>
        <w:pStyle w:val="89"/>
        <w:wordWrap/>
        <w:overflowPunct/>
        <w:topLinePunct w:val="0"/>
        <w:bidi w:val="0"/>
        <w:spacing w:before="240" w:after="240" w:line="300" w:lineRule="auto"/>
        <w:ind w:firstLine="2400" w:firstLineChars="1000"/>
        <w:rPr>
          <w:rStyle w:val="21"/>
          <w:rFonts w:hint="default" w:ascii="Times New Roman" w:hAnsi="Times New Roman" w:eastAsia="宋体" w:cs="Times New Roman"/>
          <w:color w:val="auto"/>
          <w:highlight w:val="none"/>
        </w:rPr>
      </w:pPr>
    </w:p>
    <w:p w14:paraId="13AF9E3F">
      <w:pPr>
        <w:pStyle w:val="89"/>
        <w:wordWrap/>
        <w:overflowPunct/>
        <w:topLinePunct w:val="0"/>
        <w:bidi w:val="0"/>
        <w:spacing w:before="240" w:after="240" w:line="300" w:lineRule="auto"/>
        <w:rPr>
          <w:rStyle w:val="21"/>
          <w:rFonts w:hint="default" w:ascii="Times New Roman" w:hAnsi="Times New Roman" w:eastAsia="宋体" w:cs="Times New Roman"/>
          <w:color w:val="auto"/>
          <w:highlight w:val="none"/>
        </w:rPr>
      </w:pPr>
    </w:p>
    <w:p w14:paraId="142428E8">
      <w:pPr>
        <w:pStyle w:val="89"/>
        <w:wordWrap/>
        <w:overflowPunct/>
        <w:topLinePunct w:val="0"/>
        <w:bidi w:val="0"/>
        <w:spacing w:before="240" w:after="240" w:line="300" w:lineRule="auto"/>
        <w:rPr>
          <w:rStyle w:val="21"/>
          <w:rFonts w:hint="default" w:ascii="Times New Roman" w:hAnsi="Times New Roman" w:eastAsia="宋体" w:cs="Times New Roman"/>
          <w:b/>
          <w:color w:val="auto"/>
          <w:sz w:val="32"/>
          <w:highlight w:val="none"/>
        </w:rPr>
      </w:pPr>
    </w:p>
    <w:p w14:paraId="61B3416B">
      <w:pPr>
        <w:pStyle w:val="90"/>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bookmarkStart w:id="270" w:name="_Toc29009"/>
      <w:r>
        <w:rPr>
          <w:rStyle w:val="21"/>
          <w:rFonts w:hint="default" w:ascii="Times New Roman" w:hAnsi="Times New Roman" w:eastAsia="宋体" w:cs="Times New Roman"/>
          <w:b/>
          <w:color w:val="auto"/>
          <w:sz w:val="32"/>
          <w:highlight w:val="none"/>
        </w:rPr>
        <w:t>七、技术参数响应及偏离表</w:t>
      </w:r>
      <w:bookmarkEnd w:id="270"/>
    </w:p>
    <w:p w14:paraId="7D5086F0">
      <w:pPr>
        <w:pStyle w:val="91"/>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173FEC75">
      <w:pPr>
        <w:pStyle w:val="91"/>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 xml:space="preserve">技术参数响应及偏离表 </w:t>
      </w:r>
    </w:p>
    <w:p w14:paraId="404CCF0F">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tbl>
      <w:tblPr>
        <w:tblStyle w:val="19"/>
        <w:tblW w:w="9836"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47"/>
        <w:gridCol w:w="873"/>
        <w:gridCol w:w="2462"/>
        <w:gridCol w:w="2981"/>
        <w:gridCol w:w="1020"/>
        <w:gridCol w:w="1926"/>
        <w:gridCol w:w="6"/>
        <w:gridCol w:w="6"/>
        <w:gridCol w:w="15"/>
      </w:tblGrid>
      <w:tr w14:paraId="54F78D2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22" w:hRule="atLeast"/>
        </w:trPr>
        <w:tc>
          <w:tcPr>
            <w:tcW w:w="54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B4D526">
            <w:pPr>
              <w:pStyle w:val="91"/>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序号</w:t>
            </w:r>
          </w:p>
        </w:tc>
        <w:tc>
          <w:tcPr>
            <w:tcW w:w="8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C5CC0C">
            <w:pPr>
              <w:pStyle w:val="91"/>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名称</w:t>
            </w:r>
          </w:p>
        </w:tc>
        <w:tc>
          <w:tcPr>
            <w:tcW w:w="24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157668">
            <w:pPr>
              <w:pStyle w:val="91"/>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招标货物的技术性能</w:t>
            </w:r>
          </w:p>
        </w:tc>
        <w:tc>
          <w:tcPr>
            <w:tcW w:w="29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4DEFEE">
            <w:pPr>
              <w:pStyle w:val="91"/>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参与投标的货物的技术性能</w:t>
            </w:r>
          </w:p>
        </w:tc>
        <w:tc>
          <w:tcPr>
            <w:tcW w:w="10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BB83F1D">
            <w:pPr>
              <w:pStyle w:val="91"/>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有无偏离</w:t>
            </w:r>
          </w:p>
        </w:tc>
        <w:tc>
          <w:tcPr>
            <w:tcW w:w="1926"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20F39F61">
            <w:pPr>
              <w:pStyle w:val="91"/>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偏离内容及原因</w:t>
            </w:r>
          </w:p>
        </w:tc>
        <w:tc>
          <w:tcPr>
            <w:tcW w:w="6" w:type="dxa"/>
            <w:vAlign w:val="center"/>
          </w:tcPr>
          <w:p w14:paraId="22EB2D16">
            <w:pPr>
              <w:pStyle w:val="91"/>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p>
        </w:tc>
        <w:tc>
          <w:tcPr>
            <w:tcW w:w="6" w:type="dxa"/>
            <w:vAlign w:val="center"/>
          </w:tcPr>
          <w:p w14:paraId="7FA782BF">
            <w:pPr>
              <w:pStyle w:val="91"/>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p>
        </w:tc>
        <w:tc>
          <w:tcPr>
            <w:tcW w:w="15" w:type="dxa"/>
            <w:vAlign w:val="center"/>
          </w:tcPr>
          <w:p w14:paraId="33CA891C">
            <w:pPr>
              <w:pStyle w:val="91"/>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p>
        </w:tc>
      </w:tr>
      <w:tr w14:paraId="33F6641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rPr>
        <w:tc>
          <w:tcPr>
            <w:tcW w:w="9836"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7A5A4B">
            <w:pPr>
              <w:pStyle w:val="91"/>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r>
    </w:tbl>
    <w:p w14:paraId="6A36F921">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79230D0F">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注： </w:t>
      </w:r>
    </w:p>
    <w:p w14:paraId="65CBE14F">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1、投标人应根据</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技术要求</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 xml:space="preserve">中的参数要求，对照所投报货物的技术性能进行逐项填写。因未标明或表述含糊导致的评标风险将由投标人承担。 </w:t>
      </w:r>
    </w:p>
    <w:p w14:paraId="3EFF27A4">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2、若无偏离，在</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有无偏离</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 xml:space="preserve">栏中填写 </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无</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；若有偏离在</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有无偏离</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 xml:space="preserve">栏中填写 </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有</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，并在</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偏离内容及原因</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栏中作出说明；若投标人对某一事项是否存在或是否属于偏离不能确定，亦必须清楚标明该事项并在</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有无偏离</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栏中填写</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不能确定</w:t>
      </w:r>
      <w:r>
        <w:rPr>
          <w:rStyle w:val="21"/>
          <w:rFonts w:hint="eastAsia" w:ascii="Times New Roman" w:hAnsi="Times New Roman" w:eastAsia="宋体" w:cs="Times New Roman"/>
          <w:color w:val="auto"/>
          <w:highlight w:val="none"/>
          <w:lang w:eastAsia="zh-CN"/>
        </w:rPr>
        <w:t>”</w:t>
      </w:r>
      <w:r>
        <w:rPr>
          <w:rStyle w:val="21"/>
          <w:rFonts w:hint="default" w:ascii="Times New Roman" w:hAnsi="Times New Roman" w:eastAsia="宋体" w:cs="Times New Roman"/>
          <w:color w:val="auto"/>
          <w:highlight w:val="none"/>
        </w:rPr>
        <w:t xml:space="preserve">。 </w:t>
      </w:r>
    </w:p>
    <w:p w14:paraId="4FF710DB">
      <w:pPr>
        <w:pStyle w:val="91"/>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3、表格不够可另接。 </w:t>
      </w:r>
    </w:p>
    <w:p w14:paraId="6A40AF3C">
      <w:pPr>
        <w:pStyle w:val="92"/>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71" w:name="_Toc16289"/>
      <w:r>
        <w:rPr>
          <w:rStyle w:val="21"/>
          <w:rFonts w:hint="default" w:ascii="Times New Roman" w:hAnsi="Times New Roman" w:eastAsia="宋体" w:cs="Times New Roman"/>
          <w:b/>
          <w:color w:val="auto"/>
          <w:sz w:val="32"/>
          <w:highlight w:val="none"/>
        </w:rPr>
        <w:t>八、商务条款响应及偏离表</w:t>
      </w:r>
      <w:bookmarkEnd w:id="271"/>
    </w:p>
    <w:p w14:paraId="55124D70">
      <w:pPr>
        <w:pStyle w:val="93"/>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3539DEA6">
      <w:pPr>
        <w:pStyle w:val="93"/>
        <w:wordWrap/>
        <w:overflowPunct/>
        <w:topLinePunct w:val="0"/>
        <w:bidi w:val="0"/>
        <w:spacing w:before="320" w:after="320" w:line="300" w:lineRule="auto"/>
        <w:jc w:val="center"/>
        <w:rPr>
          <w:rStyle w:val="21"/>
          <w:rFonts w:hint="default" w:ascii="Times New Roman" w:hAnsi="Times New Roman" w:eastAsia="宋体" w:cs="Times New Roman"/>
          <w:b/>
          <w:bCs/>
          <w:color w:val="auto"/>
          <w:sz w:val="32"/>
          <w:szCs w:val="32"/>
          <w:highlight w:val="none"/>
        </w:rPr>
      </w:pPr>
      <w:r>
        <w:rPr>
          <w:rStyle w:val="21"/>
          <w:rFonts w:hint="default" w:ascii="Times New Roman" w:hAnsi="Times New Roman" w:eastAsia="宋体" w:cs="Times New Roman"/>
          <w:b/>
          <w:bCs/>
          <w:color w:val="auto"/>
          <w:sz w:val="32"/>
          <w:szCs w:val="32"/>
          <w:highlight w:val="none"/>
        </w:rPr>
        <w:t xml:space="preserve">商务条款响应及偏离表 </w:t>
      </w:r>
    </w:p>
    <w:p w14:paraId="699F85B8">
      <w:pPr>
        <w:pStyle w:val="9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tbl>
      <w:tblPr>
        <w:tblStyle w:val="19"/>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559"/>
        <w:gridCol w:w="2423"/>
        <w:gridCol w:w="1185"/>
        <w:gridCol w:w="2818"/>
      </w:tblGrid>
      <w:tr w14:paraId="0CE4B0F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A447D62">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项目</w:t>
            </w: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1B80A8">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招标文件要求</w:t>
            </w: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010E4B">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是否响应</w:t>
            </w: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A2C9C20">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投标人的承诺或说明</w:t>
            </w:r>
          </w:p>
        </w:tc>
      </w:tr>
      <w:tr w14:paraId="5C9A30C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BFB095">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32628F">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D53382">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38D0F2">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76FCA44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97A896">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1E192E">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191FED">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1A4B64">
            <w:pPr>
              <w:pStyle w:val="93"/>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bl>
    <w:p w14:paraId="3B80E2C4">
      <w:pPr>
        <w:pStyle w:val="93"/>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5D3A4A98">
      <w:pPr>
        <w:pStyle w:val="94"/>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72" w:name="_Toc15255"/>
      <w:r>
        <w:rPr>
          <w:rStyle w:val="21"/>
          <w:rFonts w:hint="default" w:ascii="Times New Roman" w:hAnsi="Times New Roman" w:eastAsia="宋体" w:cs="Times New Roman"/>
          <w:b/>
          <w:color w:val="auto"/>
          <w:sz w:val="32"/>
          <w:highlight w:val="none"/>
        </w:rPr>
        <w:t>九、第四章项目需求中实质性要求响应对照表</w:t>
      </w:r>
      <w:bookmarkEnd w:id="272"/>
    </w:p>
    <w:p w14:paraId="6D2C84A9">
      <w:pPr>
        <w:pStyle w:val="95"/>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644B7BA9">
      <w:pPr>
        <w:pStyle w:val="95"/>
        <w:wordWrap/>
        <w:overflowPunct/>
        <w:topLinePunct w:val="0"/>
        <w:bidi w:val="0"/>
        <w:spacing w:before="320" w:after="320" w:line="300" w:lineRule="auto"/>
        <w:jc w:val="center"/>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b/>
          <w:bCs/>
          <w:color w:val="auto"/>
          <w:sz w:val="32"/>
          <w:szCs w:val="32"/>
          <w:highlight w:val="none"/>
        </w:rPr>
        <w:t xml:space="preserve">第四章项目需求中实质性要求响应对照表 </w:t>
      </w:r>
    </w:p>
    <w:tbl>
      <w:tblPr>
        <w:tblStyle w:val="19"/>
        <w:tblpPr w:leftFromText="180" w:rightFromText="180" w:vertAnchor="text" w:horzAnchor="page" w:tblpX="1097" w:tblpY="288"/>
        <w:tblOverlap w:val="never"/>
        <w:tblW w:w="9819" w:type="dxa"/>
        <w:tblInd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46"/>
        <w:gridCol w:w="6253"/>
        <w:gridCol w:w="2820"/>
      </w:tblGrid>
      <w:tr w14:paraId="5CAC8D3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67"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E93EA5">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序号</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1572173">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第四章项目需求中的实质性要求</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C307FD">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是否响应（填是或者否）</w:t>
            </w:r>
          </w:p>
        </w:tc>
      </w:tr>
      <w:tr w14:paraId="42C3D8A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6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3C8E5A">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1</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BABE33">
            <w:pPr>
              <w:pageBreakBefore w:val="0"/>
              <w:widowControl/>
              <w:numPr>
                <w:ilvl w:val="0"/>
                <w:numId w:val="0"/>
              </w:numPr>
              <w:wordWrap/>
              <w:topLinePunct w:val="0"/>
              <w:autoSpaceDE/>
              <w:autoSpaceDN/>
              <w:bidi w:val="0"/>
              <w:snapToGrid/>
              <w:spacing w:beforeAutospacing="0" w:afterAutospacing="0" w:line="300" w:lineRule="auto"/>
              <w:contextualSpacing/>
              <w:jc w:val="left"/>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Cs w:val="0"/>
                <w:i/>
                <w:iCs/>
                <w:color w:val="auto"/>
                <w:kern w:val="0"/>
                <w:sz w:val="24"/>
                <w:szCs w:val="24"/>
                <w:highlight w:val="none"/>
                <w:u w:val="single"/>
                <w:lang w:val="en-US" w:eastAsia="zh-CN" w:bidi="ar"/>
              </w:rPr>
              <w:t>系统支持跨平台部署能力，支持国产操作系统，国产数据库信创部署</w:t>
            </w:r>
            <w:r>
              <w:rPr>
                <w:rFonts w:hint="eastAsia" w:ascii="Times New Roman" w:hAnsi="Times New Roman" w:eastAsia="宋体" w:cs="Times New Roman"/>
                <w:bCs w:val="0"/>
                <w:i/>
                <w:iCs/>
                <w:color w:val="auto"/>
                <w:kern w:val="0"/>
                <w:sz w:val="24"/>
                <w:szCs w:val="24"/>
                <w:highlight w:val="none"/>
                <w:u w:val="single"/>
                <w:lang w:val="en-US" w:eastAsia="zh-CN" w:bidi="ar"/>
              </w:rPr>
              <w:t>。</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8129E1">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2232F13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5A90F2">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2</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1D2003B">
            <w:pPr>
              <w:numPr>
                <w:ilvl w:val="0"/>
                <w:numId w:val="0"/>
              </w:numPr>
              <w:kinsoku/>
              <w:wordWrap/>
              <w:overflowPunct/>
              <w:topLinePunct w:val="0"/>
              <w:autoSpaceDE/>
              <w:autoSpaceDN/>
              <w:bidi w:val="0"/>
              <w:adjustRightInd/>
              <w:spacing w:line="300" w:lineRule="auto"/>
              <w:jc w:val="left"/>
              <w:textAlignment w:val="auto"/>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iCs/>
                <w:color w:val="auto"/>
                <w:kern w:val="0"/>
                <w:sz w:val="24"/>
                <w:szCs w:val="24"/>
                <w:highlight w:val="none"/>
                <w:u w:val="single"/>
                <w:lang w:val="en-US" w:eastAsia="zh-CN" w:bidi="ar"/>
              </w:rPr>
              <w:t>满足信息化评审要求，包括电子病历系统应用水平分级评价六级及以上、智慧服务</w:t>
            </w:r>
            <w:r>
              <w:rPr>
                <w:rFonts w:hint="eastAsia" w:ascii="Times New Roman" w:hAnsi="Times New Roman" w:cs="Times New Roman"/>
                <w:i/>
                <w:iCs/>
                <w:color w:val="auto"/>
                <w:kern w:val="0"/>
                <w:sz w:val="24"/>
                <w:szCs w:val="24"/>
                <w:highlight w:val="none"/>
                <w:u w:val="single"/>
                <w:lang w:val="en-US" w:eastAsia="zh-CN" w:bidi="ar"/>
              </w:rPr>
              <w:t>三</w:t>
            </w:r>
            <w:r>
              <w:rPr>
                <w:rFonts w:hint="default" w:ascii="Times New Roman" w:hAnsi="Times New Roman" w:eastAsia="宋体" w:cs="Times New Roman"/>
                <w:i/>
                <w:iCs/>
                <w:color w:val="auto"/>
                <w:kern w:val="0"/>
                <w:sz w:val="24"/>
                <w:szCs w:val="24"/>
                <w:highlight w:val="none"/>
                <w:u w:val="single"/>
                <w:lang w:val="en-US" w:eastAsia="zh-CN" w:bidi="ar"/>
              </w:rPr>
              <w:t>级及以上、国家医疗信息互联互通标准化成熟度五级乙等。</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68643B">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5858237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6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86BFF2">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3</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E34CB8B">
            <w:pPr>
              <w:keepNext w:val="0"/>
              <w:keepLines w:val="0"/>
              <w:pageBreakBefore w:val="0"/>
              <w:widowControl w:val="0"/>
              <w:numPr>
                <w:ilvl w:val="0"/>
                <w:numId w:val="0"/>
              </w:numPr>
              <w:kinsoku/>
              <w:wordWrap/>
              <w:overflowPunct/>
              <w:topLinePunct w:val="0"/>
              <w:autoSpaceDE/>
              <w:autoSpaceDN/>
              <w:bidi w:val="0"/>
              <w:adjustRightInd/>
              <w:snapToGrid/>
              <w:spacing w:line="300" w:lineRule="auto"/>
              <w:jc w:val="both"/>
              <w:textAlignment w:val="auto"/>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iCs/>
                <w:color w:val="auto"/>
                <w:kern w:val="2"/>
                <w:sz w:val="24"/>
                <w:szCs w:val="24"/>
                <w:highlight w:val="none"/>
                <w:u w:val="single"/>
                <w:lang w:val="en-US" w:eastAsia="zh-CN" w:bidi="ar-SA"/>
              </w:rPr>
              <w:t>中标人有可靠的售后服务响应保障，能提供正常的技术服务。中标人在接到采购人的维修电话后</w:t>
            </w:r>
            <w:r>
              <w:rPr>
                <w:rFonts w:hint="eastAsia" w:ascii="Times New Roman" w:hAnsi="Times New Roman" w:eastAsia="宋体" w:cs="Times New Roman"/>
                <w:i/>
                <w:iCs/>
                <w:color w:val="auto"/>
                <w:kern w:val="2"/>
                <w:sz w:val="24"/>
                <w:szCs w:val="24"/>
                <w:highlight w:val="none"/>
                <w:u w:val="single"/>
                <w:lang w:val="en-US" w:eastAsia="zh-CN" w:bidi="ar-SA"/>
              </w:rPr>
              <w:t>10分钟</w:t>
            </w:r>
            <w:r>
              <w:rPr>
                <w:rFonts w:hint="default" w:ascii="Times New Roman" w:hAnsi="Times New Roman" w:eastAsia="宋体" w:cs="Times New Roman"/>
                <w:i/>
                <w:iCs/>
                <w:color w:val="auto"/>
                <w:kern w:val="2"/>
                <w:sz w:val="24"/>
                <w:szCs w:val="24"/>
                <w:highlight w:val="none"/>
                <w:u w:val="single"/>
                <w:lang w:val="en-US" w:eastAsia="zh-CN" w:bidi="ar-SA"/>
              </w:rPr>
              <w:t>内予以电话支持，若</w:t>
            </w:r>
            <w:r>
              <w:rPr>
                <w:rFonts w:hint="eastAsia" w:ascii="Times New Roman" w:hAnsi="Times New Roman" w:eastAsia="宋体" w:cs="Times New Roman"/>
                <w:i/>
                <w:iCs/>
                <w:color w:val="auto"/>
                <w:kern w:val="2"/>
                <w:sz w:val="24"/>
                <w:szCs w:val="24"/>
                <w:highlight w:val="none"/>
                <w:u w:val="single"/>
                <w:lang w:val="en-US" w:eastAsia="zh-CN" w:bidi="ar-SA"/>
              </w:rPr>
              <w:t>30分钟</w:t>
            </w:r>
            <w:r>
              <w:rPr>
                <w:rFonts w:hint="default" w:ascii="Times New Roman" w:hAnsi="Times New Roman" w:eastAsia="宋体" w:cs="Times New Roman"/>
                <w:i/>
                <w:iCs/>
                <w:color w:val="auto"/>
                <w:kern w:val="2"/>
                <w:sz w:val="24"/>
                <w:szCs w:val="24"/>
                <w:highlight w:val="none"/>
                <w:u w:val="single"/>
                <w:lang w:val="en-US" w:eastAsia="zh-CN" w:bidi="ar-SA"/>
              </w:rPr>
              <w:t>内无法解决问题，应在</w:t>
            </w:r>
            <w:r>
              <w:rPr>
                <w:rFonts w:hint="eastAsia" w:ascii="Times New Roman" w:hAnsi="Times New Roman" w:eastAsia="宋体" w:cs="Times New Roman"/>
                <w:i/>
                <w:iCs/>
                <w:color w:val="auto"/>
                <w:kern w:val="2"/>
                <w:sz w:val="24"/>
                <w:szCs w:val="24"/>
                <w:highlight w:val="none"/>
                <w:u w:val="single"/>
                <w:lang w:val="en-US" w:eastAsia="zh-CN" w:bidi="ar-SA"/>
              </w:rPr>
              <w:t>1</w:t>
            </w:r>
            <w:r>
              <w:rPr>
                <w:rFonts w:hint="default" w:ascii="Times New Roman" w:hAnsi="Times New Roman" w:eastAsia="宋体" w:cs="Times New Roman"/>
                <w:i/>
                <w:iCs/>
                <w:color w:val="auto"/>
                <w:kern w:val="2"/>
                <w:sz w:val="24"/>
                <w:szCs w:val="24"/>
                <w:highlight w:val="none"/>
                <w:u w:val="single"/>
                <w:lang w:val="en-US" w:eastAsia="zh-CN" w:bidi="ar-SA"/>
              </w:rPr>
              <w:t>小时内进行应急处理，以保证采购人的正常使用，否则由于故障造成的全部损失由中标人承担。其他未尽事宜按其中标人所提供的相应承诺执行。</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26FDEB5">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1E589EB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67"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A56E62">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4</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0517F5">
            <w:pPr>
              <w:widowControl w:val="0"/>
              <w:wordWrap/>
              <w:topLinePunct w:val="0"/>
              <w:bidi w:val="0"/>
              <w:spacing w:line="300" w:lineRule="auto"/>
              <w:jc w:val="both"/>
              <w:rPr>
                <w:rStyle w:val="21"/>
                <w:rFonts w:hint="default" w:ascii="Times New Roman" w:hAnsi="Times New Roman" w:eastAsia="宋体" w:cs="Times New Roman"/>
                <w:b w:val="0"/>
                <w:bCs w:val="0"/>
                <w:i w:val="0"/>
                <w:iCs w:val="0"/>
                <w:smallCaps w:val="0"/>
                <w:color w:val="auto"/>
                <w:sz w:val="24"/>
                <w:szCs w:val="24"/>
                <w:highlight w:val="none"/>
              </w:rPr>
            </w:pPr>
            <w:r>
              <w:rPr>
                <w:rFonts w:hint="eastAsia" w:ascii="Times New Roman" w:hAnsi="Times New Roman" w:eastAsia="宋体" w:cs="Times New Roman"/>
                <w:i/>
                <w:iCs/>
                <w:color w:val="auto"/>
                <w:kern w:val="2"/>
                <w:sz w:val="24"/>
                <w:szCs w:val="24"/>
                <w:highlight w:val="none"/>
                <w:u w:val="single"/>
                <w:lang w:val="en-US" w:eastAsia="zh-CN" w:bidi="ar-SA"/>
              </w:rPr>
              <w:t>全生命周期内</w:t>
            </w:r>
            <w:r>
              <w:rPr>
                <w:rFonts w:hint="default" w:ascii="Times New Roman" w:hAnsi="Times New Roman" w:eastAsia="宋体" w:cs="Times New Roman"/>
                <w:i/>
                <w:iCs/>
                <w:color w:val="auto"/>
                <w:kern w:val="2"/>
                <w:sz w:val="24"/>
                <w:szCs w:val="24"/>
                <w:highlight w:val="none"/>
                <w:u w:val="single"/>
                <w:lang w:val="en-US" w:eastAsia="zh-CN" w:bidi="ar-SA"/>
              </w:rPr>
              <w:t>根据医院要求免费部署医院医共体单位并提供数据对接服务</w:t>
            </w:r>
            <w:r>
              <w:rPr>
                <w:rFonts w:hint="eastAsia" w:ascii="Times New Roman" w:hAnsi="Times New Roman" w:eastAsia="宋体" w:cs="Times New Roman"/>
                <w:i/>
                <w:iCs/>
                <w:color w:val="auto"/>
                <w:kern w:val="2"/>
                <w:sz w:val="24"/>
                <w:szCs w:val="24"/>
                <w:highlight w:val="none"/>
                <w:u w:val="single"/>
                <w:lang w:val="en-US" w:eastAsia="zh-CN" w:bidi="ar-SA"/>
              </w:rPr>
              <w:t>（以中标方的软件接口为准）</w:t>
            </w:r>
            <w:r>
              <w:rPr>
                <w:rFonts w:hint="default" w:ascii="Times New Roman" w:hAnsi="Times New Roman" w:eastAsia="宋体" w:cs="Times New Roman"/>
                <w:i/>
                <w:iCs/>
                <w:color w:val="auto"/>
                <w:kern w:val="2"/>
                <w:sz w:val="24"/>
                <w:szCs w:val="24"/>
                <w:highlight w:val="none"/>
                <w:u w:val="single"/>
                <w:lang w:val="en-US" w:eastAsia="zh-CN" w:bidi="ar-SA"/>
              </w:rPr>
              <w:t>。</w:t>
            </w:r>
            <w:r>
              <w:rPr>
                <w:rFonts w:hint="eastAsia" w:ascii="Times New Roman" w:hAnsi="Times New Roman" w:eastAsia="宋体" w:cs="Times New Roman"/>
                <w:i/>
                <w:iCs/>
                <w:color w:val="auto"/>
                <w:kern w:val="2"/>
                <w:sz w:val="24"/>
                <w:szCs w:val="24"/>
                <w:highlight w:val="none"/>
                <w:u w:val="single"/>
                <w:lang w:val="en-US" w:eastAsia="zh-CN" w:bidi="ar-SA"/>
              </w:rPr>
              <w:t>（投标时提供承诺函并加盖公章）</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D5F6DE">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2002A34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74"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4EE442">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5</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29BCF2">
            <w:pPr>
              <w:widowControl/>
              <w:numPr>
                <w:ilvl w:val="0"/>
                <w:numId w:val="0"/>
              </w:numPr>
              <w:wordWrap/>
              <w:topLinePunct w:val="0"/>
              <w:bidi w:val="0"/>
              <w:spacing w:line="300" w:lineRule="auto"/>
              <w:contextualSpacing/>
              <w:jc w:val="left"/>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iCs/>
                <w:color w:val="auto"/>
                <w:kern w:val="0"/>
                <w:sz w:val="24"/>
                <w:szCs w:val="24"/>
                <w:highlight w:val="none"/>
                <w:u w:val="single"/>
                <w:lang w:val="en-US" w:eastAsia="en-US" w:bidi="ar-SA"/>
              </w:rPr>
              <w:t>采购</w:t>
            </w:r>
            <w:r>
              <w:rPr>
                <w:rFonts w:hint="eastAsia" w:ascii="Times New Roman" w:hAnsi="Times New Roman" w:eastAsia="宋体" w:cs="Times New Roman"/>
                <w:i/>
                <w:iCs/>
                <w:color w:val="auto"/>
                <w:kern w:val="0"/>
                <w:sz w:val="24"/>
                <w:szCs w:val="24"/>
                <w:highlight w:val="none"/>
                <w:u w:val="single"/>
                <w:lang w:val="en-US" w:eastAsia="zh-CN" w:bidi="ar-SA"/>
              </w:rPr>
              <w:t>人</w:t>
            </w:r>
            <w:r>
              <w:rPr>
                <w:rFonts w:hint="default" w:ascii="Times New Roman" w:hAnsi="Times New Roman" w:eastAsia="宋体" w:cs="Times New Roman"/>
                <w:i/>
                <w:iCs/>
                <w:color w:val="auto"/>
                <w:kern w:val="0"/>
                <w:sz w:val="24"/>
                <w:szCs w:val="24"/>
                <w:highlight w:val="none"/>
                <w:u w:val="single"/>
                <w:lang w:val="en-US" w:eastAsia="en-US" w:bidi="ar-SA"/>
              </w:rPr>
              <w:t>具有所购软件的原厂正版软件授权和软件永久使用权。</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41D4AE">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479FEC3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84"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D3FD0A">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6</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314AAA8">
            <w:pPr>
              <w:widowControl/>
              <w:numPr>
                <w:ilvl w:val="0"/>
                <w:numId w:val="0"/>
              </w:numPr>
              <w:wordWrap/>
              <w:topLinePunct w:val="0"/>
              <w:bidi w:val="0"/>
              <w:spacing w:line="300" w:lineRule="auto"/>
              <w:contextualSpacing/>
              <w:jc w:val="left"/>
              <w:rPr>
                <w:rStyle w:val="21"/>
                <w:rFonts w:hint="default" w:ascii="Times New Roman" w:hAnsi="Times New Roman" w:eastAsia="宋体" w:cs="Times New Roman"/>
                <w:b w:val="0"/>
                <w:bCs w:val="0"/>
                <w:i w:val="0"/>
                <w:iCs w:val="0"/>
                <w:smallCaps w:val="0"/>
                <w:color w:val="auto"/>
                <w:sz w:val="24"/>
                <w:szCs w:val="24"/>
                <w:highlight w:val="none"/>
              </w:rPr>
            </w:pPr>
            <w:r>
              <w:rPr>
                <w:rFonts w:hint="eastAsia" w:ascii="Times New Roman" w:hAnsi="Times New Roman" w:eastAsia="宋体" w:cs="Times New Roman"/>
                <w:i/>
                <w:iCs/>
                <w:color w:val="auto"/>
                <w:kern w:val="0"/>
                <w:sz w:val="24"/>
                <w:szCs w:val="24"/>
                <w:highlight w:val="none"/>
                <w:u w:val="single"/>
                <w:lang w:val="en-US" w:eastAsia="zh-CN" w:bidi="ar-SA"/>
              </w:rPr>
              <w:t>投标人所供系统满足</w:t>
            </w:r>
            <w:r>
              <w:rPr>
                <w:rFonts w:hint="eastAsia" w:ascii="宋体" w:hAnsi="宋体" w:eastAsia="宋体" w:cs="宋体"/>
                <w:i/>
                <w:iCs/>
                <w:color w:val="auto"/>
                <w:kern w:val="0"/>
                <w:sz w:val="24"/>
                <w:szCs w:val="24"/>
                <w:highlight w:val="none"/>
                <w:u w:val="single"/>
                <w:lang w:val="en-US" w:eastAsia="zh-CN" w:bidi="ar-SA"/>
              </w:rPr>
              <w:t>等保三级要求。</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F088F2">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31FDECE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9DDEA1">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7</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01CC96">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交货期：自合同签订之日起3个月内完成项目实施，软件系统提供不少于</w:t>
            </w:r>
            <w:r>
              <w:rPr>
                <w:rFonts w:hint="eastAsia" w:ascii="Times New Roman" w:hAnsi="Times New Roman" w:eastAsia="宋体" w:cs="Times New Roman"/>
                <w:b w:val="0"/>
                <w:bCs/>
                <w:i/>
                <w:iCs/>
                <w:color w:val="auto"/>
                <w:spacing w:val="7"/>
                <w:sz w:val="24"/>
                <w:szCs w:val="24"/>
                <w:highlight w:val="none"/>
                <w:u w:val="single"/>
                <w:lang w:val="en-US" w:eastAsia="zh-CN"/>
              </w:rPr>
              <w:t>3</w:t>
            </w:r>
            <w:r>
              <w:rPr>
                <w:rFonts w:hint="default" w:ascii="Times New Roman" w:hAnsi="Times New Roman" w:eastAsia="宋体" w:cs="Times New Roman"/>
                <w:b w:val="0"/>
                <w:bCs/>
                <w:i/>
                <w:iCs/>
                <w:color w:val="auto"/>
                <w:spacing w:val="7"/>
                <w:sz w:val="24"/>
                <w:szCs w:val="24"/>
                <w:highlight w:val="none"/>
                <w:u w:val="single"/>
                <w:lang w:val="en-US" w:eastAsia="zh-CN"/>
              </w:rPr>
              <w:t>年的免费维保服务（自验收合格之日起）。</w:t>
            </w:r>
            <w:r>
              <w:rPr>
                <w:rFonts w:hint="eastAsia" w:ascii="Times New Roman" w:hAnsi="Times New Roman" w:eastAsia="宋体" w:cs="Times New Roman"/>
                <w:b w:val="0"/>
                <w:bCs/>
                <w:i/>
                <w:iCs/>
                <w:color w:val="auto"/>
                <w:spacing w:val="7"/>
                <w:sz w:val="24"/>
                <w:szCs w:val="24"/>
                <w:highlight w:val="none"/>
                <w:u w:val="single"/>
                <w:lang w:val="en-US" w:eastAsia="zh-CN"/>
              </w:rPr>
              <w:t>3年免费质保期内系统接口免费开放，已接入设备软件的接口免费升级；10年内系统</w:t>
            </w:r>
            <w:r>
              <w:rPr>
                <w:rFonts w:hint="default" w:ascii="Times New Roman" w:hAnsi="Times New Roman" w:eastAsia="宋体" w:cs="Times New Roman"/>
                <w:b w:val="0"/>
                <w:bCs/>
                <w:i/>
                <w:iCs/>
                <w:color w:val="auto"/>
                <w:spacing w:val="7"/>
                <w:sz w:val="24"/>
                <w:szCs w:val="24"/>
                <w:highlight w:val="none"/>
                <w:u w:val="single"/>
                <w:lang w:val="en-US" w:eastAsia="zh-CN"/>
              </w:rPr>
              <w:t>免费升级到最新版本。免费质保结束后每年维保费不高于</w:t>
            </w:r>
            <w:r>
              <w:rPr>
                <w:rFonts w:hint="eastAsia" w:ascii="Times New Roman" w:hAnsi="Times New Roman" w:eastAsia="宋体" w:cs="Times New Roman"/>
                <w:b w:val="0"/>
                <w:bCs/>
                <w:i/>
                <w:iCs/>
                <w:color w:val="auto"/>
                <w:spacing w:val="7"/>
                <w:sz w:val="24"/>
                <w:szCs w:val="24"/>
                <w:highlight w:val="none"/>
                <w:u w:val="single"/>
                <w:lang w:val="en-US" w:eastAsia="zh-CN"/>
              </w:rPr>
              <w:t>软件</w:t>
            </w:r>
            <w:r>
              <w:rPr>
                <w:rFonts w:hint="default" w:ascii="Times New Roman" w:hAnsi="Times New Roman" w:eastAsia="宋体" w:cs="Times New Roman"/>
                <w:b w:val="0"/>
                <w:bCs/>
                <w:i/>
                <w:iCs/>
                <w:color w:val="auto"/>
                <w:spacing w:val="7"/>
                <w:sz w:val="24"/>
                <w:szCs w:val="24"/>
                <w:highlight w:val="none"/>
                <w:u w:val="single"/>
                <w:lang w:val="en-US" w:eastAsia="zh-CN"/>
              </w:rPr>
              <w:t>总价的5%。</w:t>
            </w:r>
          </w:p>
          <w:p w14:paraId="41DD532E">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（2）交货方式：采购人指定。</w:t>
            </w:r>
          </w:p>
          <w:p w14:paraId="6EF178F2">
            <w:pPr>
              <w:pStyle w:val="63"/>
              <w:kinsoku/>
              <w:wordWrap/>
              <w:overflowPunct/>
              <w:topLinePunct w:val="0"/>
              <w:autoSpaceDE/>
              <w:autoSpaceDN/>
              <w:bidi w:val="0"/>
              <w:adjustRightInd/>
              <w:spacing w:line="300" w:lineRule="auto"/>
              <w:textAlignment w:val="auto"/>
              <w:outlineLvl w:val="9"/>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i/>
                <w:iCs/>
                <w:color w:val="auto"/>
                <w:spacing w:val="7"/>
                <w:sz w:val="24"/>
                <w:szCs w:val="24"/>
                <w:highlight w:val="none"/>
                <w:u w:val="single"/>
                <w:lang w:val="en-US" w:eastAsia="zh-CN"/>
              </w:rPr>
              <w:t>（3）交货地点：</w:t>
            </w:r>
            <w:r>
              <w:rPr>
                <w:rFonts w:hint="eastAsia" w:ascii="Times New Roman" w:hAnsi="Times New Roman" w:eastAsia="宋体" w:cs="Times New Roman"/>
                <w:b w:val="0"/>
                <w:bCs/>
                <w:i/>
                <w:iCs/>
                <w:color w:val="auto"/>
                <w:spacing w:val="7"/>
                <w:sz w:val="24"/>
                <w:szCs w:val="24"/>
                <w:highlight w:val="none"/>
                <w:u w:val="single"/>
                <w:lang w:val="en-US" w:eastAsia="zh-CN"/>
              </w:rPr>
              <w:t>采购人指定地点</w:t>
            </w:r>
            <w:r>
              <w:rPr>
                <w:rFonts w:hint="default" w:ascii="Times New Roman" w:hAnsi="Times New Roman" w:eastAsia="宋体" w:cs="Times New Roman"/>
                <w:b w:val="0"/>
                <w:bCs/>
                <w:i/>
                <w:iCs/>
                <w:color w:val="auto"/>
                <w:spacing w:val="7"/>
                <w:sz w:val="24"/>
                <w:szCs w:val="24"/>
                <w:highlight w:val="none"/>
                <w:u w:val="single"/>
                <w:lang w:val="en-US" w:eastAsia="zh-CN"/>
              </w:rPr>
              <w:t>。</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8A4F48">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1A22875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4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A2A124">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8</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2FA675">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color w:val="auto"/>
                <w:spacing w:val="7"/>
                <w:sz w:val="24"/>
                <w:szCs w:val="24"/>
                <w:highlight w:val="none"/>
                <w:lang w:val="en-US" w:eastAsia="zh-CN"/>
              </w:rPr>
            </w:pPr>
            <w:r>
              <w:rPr>
                <w:rFonts w:hint="eastAsia" w:ascii="Times New Roman" w:hAnsi="Times New Roman" w:eastAsia="宋体" w:cs="Times New Roman"/>
                <w:b w:val="0"/>
                <w:bCs/>
                <w:color w:val="auto"/>
                <w:spacing w:val="7"/>
                <w:sz w:val="24"/>
                <w:szCs w:val="24"/>
                <w:highlight w:val="none"/>
                <w:lang w:val="en-US" w:eastAsia="zh-CN"/>
              </w:rPr>
              <w:t>（</w:t>
            </w:r>
            <w:r>
              <w:rPr>
                <w:rFonts w:hint="default" w:ascii="Times New Roman" w:hAnsi="Times New Roman" w:eastAsia="宋体" w:cs="Times New Roman"/>
                <w:b w:val="0"/>
                <w:bCs/>
                <w:color w:val="auto"/>
                <w:spacing w:val="7"/>
                <w:sz w:val="24"/>
                <w:szCs w:val="24"/>
                <w:highlight w:val="none"/>
                <w:lang w:val="en-US" w:eastAsia="zh-CN"/>
              </w:rPr>
              <w:t>1）结付程序</w:t>
            </w:r>
          </w:p>
          <w:p w14:paraId="15271655">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 xml:space="preserve">合同签订生效后，中标人合格地履行合同内容，凭销售合同、验收报告、销售发票给甲方办理结算手续。 </w:t>
            </w:r>
          </w:p>
          <w:p w14:paraId="45C9C6B6">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color w:val="auto"/>
                <w:spacing w:val="7"/>
                <w:sz w:val="24"/>
                <w:szCs w:val="24"/>
                <w:highlight w:val="none"/>
                <w:lang w:val="en-US" w:eastAsia="zh-CN"/>
              </w:rPr>
            </w:pPr>
            <w:r>
              <w:rPr>
                <w:rFonts w:hint="default" w:ascii="Times New Roman" w:hAnsi="Times New Roman" w:eastAsia="宋体" w:cs="Times New Roman"/>
                <w:b w:val="0"/>
                <w:bCs/>
                <w:color w:val="auto"/>
                <w:spacing w:val="7"/>
                <w:sz w:val="24"/>
                <w:szCs w:val="24"/>
                <w:highlight w:val="none"/>
                <w:lang w:val="en-US" w:eastAsia="zh-CN"/>
              </w:rPr>
              <w:t>（2）结付期限</w:t>
            </w:r>
          </w:p>
          <w:p w14:paraId="49C45269">
            <w:pPr>
              <w:pStyle w:val="63"/>
              <w:kinsoku/>
              <w:wordWrap/>
              <w:overflowPunct/>
              <w:topLinePunct w:val="0"/>
              <w:autoSpaceDE/>
              <w:autoSpaceDN/>
              <w:bidi w:val="0"/>
              <w:adjustRightInd/>
              <w:spacing w:line="300" w:lineRule="auto"/>
              <w:textAlignment w:val="auto"/>
              <w:outlineLvl w:val="9"/>
              <w:rPr>
                <w:rFonts w:hint="default" w:ascii="Times New Roman" w:hAnsi="Times New Roman" w:eastAsia="宋体" w:cs="Times New Roman"/>
                <w:b w:val="0"/>
                <w:bCs/>
                <w:i/>
                <w:iCs/>
                <w:color w:val="auto"/>
                <w:spacing w:val="7"/>
                <w:sz w:val="24"/>
                <w:szCs w:val="24"/>
                <w:highlight w:val="none"/>
                <w:u w:val="single"/>
                <w:lang w:val="en-US" w:eastAsia="zh-CN"/>
              </w:rPr>
            </w:pPr>
            <w:r>
              <w:rPr>
                <w:rFonts w:hint="default" w:ascii="Times New Roman" w:hAnsi="Times New Roman" w:eastAsia="宋体" w:cs="Times New Roman"/>
                <w:b w:val="0"/>
                <w:bCs/>
                <w:i/>
                <w:iCs/>
                <w:color w:val="auto"/>
                <w:spacing w:val="7"/>
                <w:sz w:val="24"/>
                <w:szCs w:val="24"/>
                <w:highlight w:val="none"/>
                <w:u w:val="single"/>
                <w:lang w:val="en-US" w:eastAsia="zh-CN"/>
              </w:rPr>
              <w:t>①合同签订生效后7个工作日内，</w:t>
            </w:r>
            <w:r>
              <w:rPr>
                <w:rFonts w:hint="eastAsia" w:ascii="Times New Roman" w:hAnsi="Times New Roman" w:eastAsia="宋体" w:cs="Times New Roman"/>
                <w:b w:val="0"/>
                <w:bCs/>
                <w:i/>
                <w:iCs/>
                <w:color w:val="auto"/>
                <w:spacing w:val="7"/>
                <w:sz w:val="24"/>
                <w:szCs w:val="24"/>
                <w:highlight w:val="none"/>
                <w:u w:val="single"/>
                <w:lang w:val="en-US" w:eastAsia="zh-CN"/>
              </w:rPr>
              <w:t>中标人</w:t>
            </w:r>
            <w:r>
              <w:rPr>
                <w:rFonts w:hint="default" w:ascii="Times New Roman" w:hAnsi="Times New Roman" w:eastAsia="宋体" w:cs="Times New Roman"/>
                <w:b w:val="0"/>
                <w:bCs/>
                <w:i/>
                <w:iCs/>
                <w:color w:val="auto"/>
                <w:spacing w:val="7"/>
                <w:sz w:val="24"/>
                <w:szCs w:val="24"/>
                <w:highlight w:val="none"/>
                <w:u w:val="single"/>
                <w:lang w:val="en-US" w:eastAsia="zh-CN"/>
              </w:rPr>
              <w:t>填写付款申请并附合同复印件交采购单位，采购单位支付合同金额的30%作为预付款；</w:t>
            </w:r>
          </w:p>
          <w:p w14:paraId="1F7BE6C7">
            <w:pPr>
              <w:pStyle w:val="63"/>
              <w:kinsoku/>
              <w:wordWrap/>
              <w:overflowPunct/>
              <w:topLinePunct w:val="0"/>
              <w:autoSpaceDE/>
              <w:autoSpaceDN/>
              <w:bidi w:val="0"/>
              <w:adjustRightInd/>
              <w:spacing w:line="300" w:lineRule="auto"/>
              <w:textAlignment w:val="auto"/>
              <w:outlineLvl w:val="9"/>
              <w:rPr>
                <w:rStyle w:val="21"/>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i/>
                <w:iCs/>
                <w:color w:val="auto"/>
                <w:spacing w:val="7"/>
                <w:sz w:val="24"/>
                <w:szCs w:val="24"/>
                <w:highlight w:val="none"/>
                <w:u w:val="single"/>
                <w:lang w:val="en-US" w:eastAsia="zh-CN"/>
              </w:rPr>
              <w:t>②项目服务完成并经验收合格</w:t>
            </w:r>
            <w:r>
              <w:rPr>
                <w:rFonts w:hint="eastAsia" w:ascii="Times New Roman" w:hAnsi="Times New Roman" w:eastAsia="宋体" w:cs="Times New Roman"/>
                <w:b w:val="0"/>
                <w:bCs/>
                <w:i/>
                <w:iCs/>
                <w:color w:val="auto"/>
                <w:spacing w:val="7"/>
                <w:sz w:val="24"/>
                <w:szCs w:val="24"/>
                <w:highlight w:val="none"/>
                <w:u w:val="single"/>
                <w:lang w:val="en-US" w:eastAsia="zh-CN"/>
              </w:rPr>
              <w:t>签署验收报告</w:t>
            </w:r>
            <w:r>
              <w:rPr>
                <w:rFonts w:hint="default" w:ascii="Times New Roman" w:hAnsi="Times New Roman" w:eastAsia="宋体" w:cs="Times New Roman"/>
                <w:b w:val="0"/>
                <w:bCs/>
                <w:i/>
                <w:iCs/>
                <w:color w:val="auto"/>
                <w:spacing w:val="7"/>
                <w:sz w:val="24"/>
                <w:szCs w:val="24"/>
                <w:highlight w:val="none"/>
                <w:u w:val="single"/>
                <w:lang w:val="en-US" w:eastAsia="zh-CN"/>
              </w:rPr>
              <w:t>后，采购人支付本项目合同总价的</w:t>
            </w:r>
            <w:r>
              <w:rPr>
                <w:rFonts w:hint="eastAsia" w:ascii="Times New Roman" w:hAnsi="Times New Roman" w:eastAsia="宋体" w:cs="Times New Roman"/>
                <w:b w:val="0"/>
                <w:bCs/>
                <w:i/>
                <w:iCs/>
                <w:color w:val="auto"/>
                <w:spacing w:val="7"/>
                <w:sz w:val="24"/>
                <w:szCs w:val="24"/>
                <w:highlight w:val="none"/>
                <w:u w:val="single"/>
                <w:lang w:val="en-US" w:eastAsia="zh-CN"/>
              </w:rPr>
              <w:t>70</w:t>
            </w:r>
            <w:r>
              <w:rPr>
                <w:rFonts w:hint="default" w:ascii="Times New Roman" w:hAnsi="Times New Roman" w:eastAsia="宋体" w:cs="Times New Roman"/>
                <w:b w:val="0"/>
                <w:bCs/>
                <w:i/>
                <w:iCs/>
                <w:color w:val="auto"/>
                <w:spacing w:val="7"/>
                <w:sz w:val="24"/>
                <w:szCs w:val="24"/>
                <w:highlight w:val="none"/>
                <w:u w:val="single"/>
                <w:lang w:val="en-US" w:eastAsia="zh-CN"/>
              </w:rPr>
              <w:t>%</w:t>
            </w:r>
            <w:r>
              <w:rPr>
                <w:rFonts w:hint="eastAsia" w:ascii="Times New Roman" w:hAnsi="Times New Roman" w:eastAsia="宋体" w:cs="Times New Roman"/>
                <w:b w:val="0"/>
                <w:bCs/>
                <w:i/>
                <w:iCs/>
                <w:color w:val="auto"/>
                <w:spacing w:val="7"/>
                <w:sz w:val="24"/>
                <w:szCs w:val="24"/>
                <w:highlight w:val="none"/>
                <w:u w:val="single"/>
                <w:lang w:val="en-US" w:eastAsia="zh-CN"/>
              </w:rPr>
              <w:t>同时返还履约保证金</w:t>
            </w:r>
            <w:r>
              <w:rPr>
                <w:rFonts w:hint="default" w:ascii="Times New Roman" w:hAnsi="Times New Roman" w:eastAsia="宋体" w:cs="Times New Roman"/>
                <w:b w:val="0"/>
                <w:bCs/>
                <w:i/>
                <w:iCs/>
                <w:color w:val="auto"/>
                <w:spacing w:val="7"/>
                <w:sz w:val="24"/>
                <w:szCs w:val="24"/>
                <w:highlight w:val="none"/>
                <w:u w:val="single"/>
                <w:lang w:val="en-US" w:eastAsia="zh-CN"/>
              </w:rPr>
              <w:t>。</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7F6B397">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r w14:paraId="049CA65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9" w:hRule="atLeast"/>
        </w:trPr>
        <w:tc>
          <w:tcPr>
            <w:tcW w:w="7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3EF6D6">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lang w:val="en-US" w:eastAsia="zh-CN"/>
              </w:rPr>
            </w:pPr>
            <w:r>
              <w:rPr>
                <w:rStyle w:val="21"/>
                <w:rFonts w:hint="default" w:ascii="Times New Roman" w:hAnsi="Times New Roman" w:eastAsia="宋体" w:cs="Times New Roman"/>
                <w:b w:val="0"/>
                <w:bCs w:val="0"/>
                <w:i w:val="0"/>
                <w:iCs w:val="0"/>
                <w:smallCaps w:val="0"/>
                <w:color w:val="auto"/>
                <w:sz w:val="24"/>
                <w:szCs w:val="24"/>
                <w:highlight w:val="none"/>
                <w:lang w:val="en-US" w:eastAsia="zh-CN"/>
              </w:rPr>
              <w:t>9</w:t>
            </w:r>
          </w:p>
        </w:tc>
        <w:tc>
          <w:tcPr>
            <w:tcW w:w="625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510B28">
            <w:pPr>
              <w:pStyle w:val="63"/>
              <w:numPr>
                <w:ilvl w:val="0"/>
                <w:numId w:val="0"/>
              </w:numPr>
              <w:kinsoku/>
              <w:wordWrap/>
              <w:overflowPunct/>
              <w:topLinePunct w:val="0"/>
              <w:autoSpaceDE/>
              <w:autoSpaceDN/>
              <w:bidi w:val="0"/>
              <w:adjustRightInd/>
              <w:spacing w:line="300" w:lineRule="auto"/>
              <w:textAlignment w:val="auto"/>
              <w:outlineLvl w:val="9"/>
              <w:rPr>
                <w:rStyle w:val="21"/>
                <w:rFonts w:hint="default" w:ascii="Times New Roman" w:hAnsi="Times New Roman" w:eastAsia="宋体" w:cs="Times New Roman"/>
                <w:b w:val="0"/>
                <w:bCs w:val="0"/>
                <w:i w:val="0"/>
                <w:iCs w:val="0"/>
                <w:smallCaps w:val="0"/>
                <w:color w:val="auto"/>
                <w:sz w:val="24"/>
                <w:szCs w:val="24"/>
                <w:highlight w:val="none"/>
                <w:lang w:val="en-US"/>
              </w:rPr>
            </w:pPr>
            <w:r>
              <w:rPr>
                <w:rFonts w:hint="default" w:ascii="Times New Roman" w:hAnsi="Times New Roman" w:eastAsia="宋体" w:cs="Times New Roman"/>
                <w:b w:val="0"/>
                <w:bCs/>
                <w:i/>
                <w:iCs/>
                <w:color w:val="auto"/>
                <w:spacing w:val="7"/>
                <w:sz w:val="24"/>
                <w:szCs w:val="24"/>
                <w:highlight w:val="none"/>
                <w:u w:val="single"/>
                <w:lang w:val="en-US" w:eastAsia="zh-CN"/>
              </w:rPr>
              <w:t>采用人民币报价。</w:t>
            </w:r>
          </w:p>
        </w:tc>
        <w:tc>
          <w:tcPr>
            <w:tcW w:w="28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FCF106">
            <w:pPr>
              <w:pStyle w:val="95"/>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p>
        </w:tc>
      </w:tr>
    </w:tbl>
    <w:p w14:paraId="3CC5D9FE">
      <w:pPr>
        <w:pStyle w:val="99"/>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73" w:name="_Toc25716"/>
      <w:r>
        <w:rPr>
          <w:rStyle w:val="21"/>
          <w:rFonts w:hint="default" w:ascii="Times New Roman" w:hAnsi="Times New Roman" w:eastAsia="宋体" w:cs="Times New Roman"/>
          <w:b/>
          <w:color w:val="auto"/>
          <w:sz w:val="32"/>
          <w:highlight w:val="none"/>
        </w:rPr>
        <w:t>十、技术方案、服务方案</w:t>
      </w:r>
      <w:bookmarkEnd w:id="273"/>
    </w:p>
    <w:p w14:paraId="49751117">
      <w:pPr>
        <w:pStyle w:val="100"/>
        <w:keepNext/>
        <w:keepLines/>
        <w:wordWrap/>
        <w:overflowPunct/>
        <w:topLinePunct w:val="0"/>
        <w:bidi w:val="0"/>
        <w:spacing w:before="260" w:after="260" w:line="300" w:lineRule="auto"/>
        <w:jc w:val="center"/>
        <w:outlineLvl w:val="9"/>
        <w:rPr>
          <w:rStyle w:val="21"/>
          <w:rFonts w:hint="default" w:ascii="Times New Roman" w:hAnsi="Times New Roman" w:eastAsia="宋体" w:cs="Times New Roman"/>
          <w:color w:val="auto"/>
          <w:sz w:val="28"/>
          <w:szCs w:val="28"/>
          <w:highlight w:val="none"/>
        </w:rPr>
      </w:pPr>
      <w:bookmarkStart w:id="274" w:name="_Toc40430380"/>
      <w:bookmarkStart w:id="275" w:name="_Toc35244892"/>
      <w:r>
        <w:rPr>
          <w:rStyle w:val="21"/>
          <w:rFonts w:hint="default" w:ascii="Times New Roman" w:hAnsi="Times New Roman" w:eastAsia="宋体" w:cs="Times New Roman"/>
          <w:color w:val="auto"/>
          <w:sz w:val="28"/>
          <w:szCs w:val="28"/>
          <w:highlight w:val="none"/>
        </w:rPr>
        <w:t>技术方案、服务方案</w:t>
      </w:r>
      <w:bookmarkEnd w:id="274"/>
      <w:bookmarkEnd w:id="275"/>
    </w:p>
    <w:p w14:paraId="2F7DDAE8">
      <w:pPr>
        <w:pStyle w:val="100"/>
        <w:wordWrap/>
        <w:overflowPunct/>
        <w:topLinePunct w:val="0"/>
        <w:bidi w:val="0"/>
        <w:adjustRightInd w:val="0"/>
        <w:snapToGrid w:val="0"/>
        <w:spacing w:line="300" w:lineRule="auto"/>
        <w:jc w:val="center"/>
        <w:textAlignment w:val="baseline"/>
        <w:rPr>
          <w:rStyle w:val="21"/>
          <w:rFonts w:hint="default" w:ascii="Times New Roman" w:hAnsi="Times New Roman" w:eastAsia="宋体" w:cs="Times New Roman"/>
          <w:color w:val="auto"/>
          <w:sz w:val="24"/>
          <w:szCs w:val="21"/>
          <w:highlight w:val="none"/>
        </w:rPr>
      </w:pPr>
      <w:r>
        <w:rPr>
          <w:rStyle w:val="21"/>
          <w:rFonts w:hint="default" w:ascii="Times New Roman" w:hAnsi="Times New Roman" w:eastAsia="宋体" w:cs="Times New Roman"/>
          <w:color w:val="auto"/>
          <w:sz w:val="24"/>
          <w:szCs w:val="21"/>
          <w:highlight w:val="none"/>
        </w:rPr>
        <w:t>（技术方案及服务方案的内容编排等由投标人自定）</w:t>
      </w:r>
    </w:p>
    <w:p w14:paraId="5063D3C7">
      <w:pPr>
        <w:pStyle w:val="103"/>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76" w:name="_Toc24399"/>
      <w:r>
        <w:rPr>
          <w:rStyle w:val="21"/>
          <w:rFonts w:hint="default" w:ascii="Times New Roman" w:hAnsi="Times New Roman" w:eastAsia="宋体" w:cs="Times New Roman"/>
          <w:b/>
          <w:color w:val="auto"/>
          <w:sz w:val="32"/>
          <w:highlight w:val="none"/>
        </w:rPr>
        <w:t>十一、投标人情况介绍</w:t>
      </w:r>
      <w:bookmarkEnd w:id="276"/>
    </w:p>
    <w:p w14:paraId="4C1C29A5">
      <w:pPr>
        <w:pStyle w:val="104"/>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w:t>
      </w:r>
      <w:r>
        <w:rPr>
          <w:rStyle w:val="21"/>
          <w:rFonts w:hint="eastAsia" w:ascii="Times New Roman" w:hAnsi="Times New Roman" w:eastAsia="宋体" w:cs="Times New Roman"/>
          <w:b/>
          <w:color w:val="auto"/>
          <w:sz w:val="28"/>
          <w:highlight w:val="none"/>
          <w:lang w:val="en-US" w:eastAsia="zh-CN"/>
        </w:rPr>
        <w:t>投标人所投产品</w:t>
      </w:r>
      <w:r>
        <w:rPr>
          <w:rStyle w:val="21"/>
          <w:rFonts w:hint="default" w:ascii="Times New Roman" w:hAnsi="Times New Roman" w:eastAsia="宋体" w:cs="Times New Roman"/>
          <w:b/>
          <w:color w:val="auto"/>
          <w:sz w:val="28"/>
          <w:highlight w:val="none"/>
        </w:rPr>
        <w:t>拥有的加工设备介绍</w:t>
      </w:r>
    </w:p>
    <w:p w14:paraId="1BC6A6E4">
      <w:pPr>
        <w:pStyle w:val="102"/>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1"/>
          <w:rFonts w:hint="default" w:ascii="Times New Roman" w:hAnsi="Times New Roman" w:eastAsia="宋体" w:cs="Times New Roman"/>
          <w:b/>
          <w:bCs/>
          <w:color w:val="auto"/>
          <w:sz w:val="28"/>
          <w:szCs w:val="28"/>
          <w:highlight w:val="none"/>
        </w:rPr>
      </w:pPr>
    </w:p>
    <w:p w14:paraId="5DD2467C">
      <w:pPr>
        <w:pStyle w:val="102"/>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1"/>
          <w:rFonts w:hint="default" w:ascii="Times New Roman" w:hAnsi="Times New Roman" w:eastAsia="宋体" w:cs="Times New Roman"/>
          <w:b/>
          <w:bCs/>
          <w:color w:val="auto"/>
          <w:sz w:val="28"/>
          <w:szCs w:val="28"/>
          <w:highlight w:val="none"/>
        </w:rPr>
      </w:pPr>
      <w:r>
        <w:rPr>
          <w:rStyle w:val="21"/>
          <w:rFonts w:hint="default" w:ascii="Times New Roman" w:hAnsi="Times New Roman" w:eastAsia="宋体" w:cs="Times New Roman"/>
          <w:b/>
          <w:bCs/>
          <w:color w:val="auto"/>
          <w:sz w:val="28"/>
          <w:szCs w:val="28"/>
          <w:highlight w:val="none"/>
        </w:rPr>
        <w:t>拥有的加工设备介绍（若有的话）</w:t>
      </w:r>
    </w:p>
    <w:p w14:paraId="5B5043B1">
      <w:pPr>
        <w:pStyle w:val="105"/>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w:t>
      </w:r>
      <w:r>
        <w:rPr>
          <w:rStyle w:val="21"/>
          <w:rFonts w:hint="eastAsia" w:ascii="Times New Roman" w:hAnsi="Times New Roman" w:eastAsia="宋体" w:cs="Times New Roman"/>
          <w:b/>
          <w:color w:val="auto"/>
          <w:sz w:val="28"/>
          <w:highlight w:val="none"/>
          <w:lang w:val="en-US" w:eastAsia="zh-CN"/>
        </w:rPr>
        <w:t>投标人所投产品</w:t>
      </w:r>
      <w:r>
        <w:rPr>
          <w:rStyle w:val="21"/>
          <w:rFonts w:hint="default" w:ascii="Times New Roman" w:hAnsi="Times New Roman" w:eastAsia="宋体" w:cs="Times New Roman"/>
          <w:b/>
          <w:color w:val="auto"/>
          <w:sz w:val="28"/>
          <w:highlight w:val="none"/>
        </w:rPr>
        <w:t>类似业绩一览表</w:t>
      </w:r>
    </w:p>
    <w:p w14:paraId="1C16702C">
      <w:pPr>
        <w:pStyle w:val="106"/>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315DA279">
      <w:pPr>
        <w:pStyle w:val="106"/>
        <w:wordWrap/>
        <w:overflowPunct/>
        <w:topLinePunct w:val="0"/>
        <w:bidi w:val="0"/>
        <w:spacing w:before="360" w:after="360" w:line="300" w:lineRule="auto"/>
        <w:jc w:val="center"/>
        <w:rPr>
          <w:rStyle w:val="21"/>
          <w:rFonts w:hint="default" w:ascii="Times New Roman" w:hAnsi="Times New Roman" w:eastAsia="宋体" w:cs="Times New Roman"/>
          <w:b/>
          <w:bCs/>
          <w:color w:val="auto"/>
          <w:sz w:val="36"/>
          <w:szCs w:val="36"/>
          <w:highlight w:val="none"/>
        </w:rPr>
      </w:pPr>
      <w:r>
        <w:rPr>
          <w:rStyle w:val="21"/>
          <w:rFonts w:hint="default" w:ascii="Times New Roman" w:hAnsi="Times New Roman" w:eastAsia="宋体" w:cs="Times New Roman"/>
          <w:b/>
          <w:bCs/>
          <w:color w:val="auto"/>
          <w:sz w:val="36"/>
          <w:szCs w:val="36"/>
          <w:highlight w:val="none"/>
        </w:rPr>
        <w:t xml:space="preserve">类似业绩一览表 </w:t>
      </w:r>
    </w:p>
    <w:tbl>
      <w:tblPr>
        <w:tblStyle w:val="19"/>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142"/>
        <w:gridCol w:w="2246"/>
        <w:gridCol w:w="3351"/>
        <w:gridCol w:w="2246"/>
      </w:tblGrid>
      <w:tr w14:paraId="7D306BF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EEE94B">
            <w:pPr>
              <w:pStyle w:val="106"/>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序号</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4A3C548">
            <w:pPr>
              <w:pStyle w:val="106"/>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项目名称</w:t>
            </w:r>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91E3CE">
            <w:pPr>
              <w:pStyle w:val="106"/>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合同期（天）</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ADBE30">
            <w:pPr>
              <w:pStyle w:val="106"/>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合同金额</w:t>
            </w:r>
          </w:p>
        </w:tc>
      </w:tr>
      <w:tr w14:paraId="7427B52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AFDD7A">
            <w:pPr>
              <w:pStyle w:val="106"/>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77" w:name="xh"/>
            <w:bookmarkEnd w:id="277"/>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0C5BD7">
            <w:pPr>
              <w:pStyle w:val="106"/>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78" w:name="XmName"/>
            <w:bookmarkEnd w:id="278"/>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63878EF">
            <w:pPr>
              <w:pStyle w:val="106"/>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AE992A">
            <w:pPr>
              <w:pStyle w:val="106"/>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79" w:name="ZhongBiaoJia"/>
            <w:bookmarkEnd w:id="279"/>
          </w:p>
        </w:tc>
      </w:tr>
    </w:tbl>
    <w:p w14:paraId="040A2029">
      <w:pPr>
        <w:pStyle w:val="106"/>
        <w:wordWrap/>
        <w:overflowPunct/>
        <w:topLinePunct w:val="0"/>
        <w:bidi w:val="0"/>
        <w:spacing w:before="240" w:after="240" w:line="300" w:lineRule="auto"/>
        <w:jc w:val="center"/>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xml:space="preserve">  </w:t>
      </w:r>
    </w:p>
    <w:p w14:paraId="3135C961">
      <w:pPr>
        <w:pStyle w:val="107"/>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w:t>
      </w:r>
      <w:r>
        <w:rPr>
          <w:rStyle w:val="21"/>
          <w:rFonts w:hint="eastAsia" w:ascii="Times New Roman" w:hAnsi="Times New Roman" w:eastAsia="宋体" w:cs="Times New Roman"/>
          <w:b/>
          <w:color w:val="auto"/>
          <w:sz w:val="28"/>
          <w:highlight w:val="none"/>
          <w:lang w:val="en-US" w:eastAsia="zh-CN"/>
        </w:rPr>
        <w:t>投标人所投产品</w:t>
      </w:r>
      <w:r>
        <w:rPr>
          <w:rStyle w:val="21"/>
          <w:rFonts w:hint="default" w:ascii="Times New Roman" w:hAnsi="Times New Roman" w:eastAsia="宋体" w:cs="Times New Roman"/>
          <w:b/>
          <w:color w:val="auto"/>
          <w:sz w:val="28"/>
          <w:highlight w:val="none"/>
        </w:rPr>
        <w:t>投标人获得的相关证书</w:t>
      </w:r>
    </w:p>
    <w:p w14:paraId="7BA76D49">
      <w:pPr>
        <w:pStyle w:val="108"/>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404A1E89">
      <w:pPr>
        <w:pStyle w:val="10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7B4A3C89">
      <w:pPr>
        <w:pStyle w:val="108"/>
        <w:wordWrap/>
        <w:overflowPunct/>
        <w:topLinePunct w:val="0"/>
        <w:bidi w:val="0"/>
        <w:spacing w:before="360" w:after="360" w:line="300" w:lineRule="auto"/>
        <w:jc w:val="center"/>
        <w:rPr>
          <w:rStyle w:val="21"/>
          <w:rFonts w:hint="default" w:ascii="Times New Roman" w:hAnsi="Times New Roman" w:eastAsia="宋体" w:cs="Times New Roman"/>
          <w:b/>
          <w:bCs/>
          <w:color w:val="auto"/>
          <w:sz w:val="36"/>
          <w:szCs w:val="36"/>
          <w:highlight w:val="none"/>
        </w:rPr>
      </w:pPr>
      <w:r>
        <w:rPr>
          <w:rStyle w:val="21"/>
          <w:rFonts w:hint="default" w:ascii="Times New Roman" w:hAnsi="Times New Roman" w:eastAsia="宋体" w:cs="Times New Roman"/>
          <w:b/>
          <w:bCs/>
          <w:color w:val="auto"/>
          <w:sz w:val="36"/>
          <w:szCs w:val="36"/>
          <w:highlight w:val="none"/>
        </w:rPr>
        <w:t>各类证书</w:t>
      </w:r>
    </w:p>
    <w:tbl>
      <w:tblPr>
        <w:tblStyle w:val="19"/>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11C3335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D0A919">
            <w:pPr>
              <w:pStyle w:val="108"/>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514D1AC">
            <w:pPr>
              <w:pStyle w:val="108"/>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查看 </w:t>
            </w:r>
          </w:p>
        </w:tc>
      </w:tr>
      <w:tr w14:paraId="157E1EB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6CA41D">
            <w:pPr>
              <w:pStyle w:val="108"/>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80" w:name="MC_0"/>
            <w:bookmarkEnd w:id="280"/>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25F858">
            <w:pPr>
              <w:pStyle w:val="108"/>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81" w:name="ChaKan_1"/>
            <w:bookmarkEnd w:id="281"/>
          </w:p>
        </w:tc>
      </w:tr>
    </w:tbl>
    <w:p w14:paraId="248C5557">
      <w:pPr>
        <w:pStyle w:val="10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71C07F9C">
      <w:pPr>
        <w:pStyle w:val="10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3E0FE4BD">
      <w:pPr>
        <w:pStyle w:val="108"/>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3C512A02">
      <w:pPr>
        <w:pStyle w:val="109"/>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w:t>
      </w:r>
      <w:r>
        <w:rPr>
          <w:rStyle w:val="21"/>
          <w:rFonts w:hint="eastAsia" w:ascii="Times New Roman" w:hAnsi="Times New Roman" w:eastAsia="宋体" w:cs="Times New Roman"/>
          <w:b/>
          <w:color w:val="auto"/>
          <w:sz w:val="28"/>
          <w:highlight w:val="none"/>
          <w:lang w:val="en-US" w:eastAsia="zh-CN"/>
        </w:rPr>
        <w:t>投标人所投产品</w:t>
      </w:r>
      <w:r>
        <w:rPr>
          <w:rStyle w:val="21"/>
          <w:rFonts w:hint="default" w:ascii="Times New Roman" w:hAnsi="Times New Roman" w:eastAsia="宋体" w:cs="Times New Roman"/>
          <w:b/>
          <w:color w:val="auto"/>
          <w:sz w:val="28"/>
          <w:highlight w:val="none"/>
        </w:rPr>
        <w:t>投标人获得的相关奖项</w:t>
      </w:r>
    </w:p>
    <w:p w14:paraId="797B870B">
      <w:pPr>
        <w:pStyle w:val="110"/>
        <w:wordWrap/>
        <w:overflowPunct/>
        <w:topLinePunct w:val="0"/>
        <w:bidi w:val="0"/>
        <w:spacing w:line="300" w:lineRule="auto"/>
        <w:outlineLvl w:val="9"/>
        <w:rPr>
          <w:rStyle w:val="21"/>
          <w:rFonts w:hint="default" w:ascii="Times New Roman" w:hAnsi="Times New Roman" w:eastAsia="宋体" w:cs="Times New Roman"/>
          <w:color w:val="auto"/>
          <w:spacing w:val="7"/>
          <w:highlight w:val="none"/>
        </w:rPr>
      </w:pPr>
      <w:r>
        <w:rPr>
          <w:rStyle w:val="21"/>
          <w:rFonts w:hint="default" w:ascii="Times New Roman" w:hAnsi="Times New Roman" w:eastAsia="宋体" w:cs="Times New Roman"/>
          <w:color w:val="auto"/>
          <w:highlight w:val="none"/>
        </w:rPr>
        <w:t xml:space="preserve">﻿ </w:t>
      </w:r>
    </w:p>
    <w:p w14:paraId="68C82A18">
      <w:pPr>
        <w:pStyle w:val="11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42EE77E4">
      <w:pPr>
        <w:pStyle w:val="110"/>
        <w:wordWrap/>
        <w:overflowPunct/>
        <w:topLinePunct w:val="0"/>
        <w:bidi w:val="0"/>
        <w:spacing w:before="360" w:after="360" w:line="300" w:lineRule="auto"/>
        <w:jc w:val="center"/>
        <w:rPr>
          <w:rStyle w:val="21"/>
          <w:rFonts w:hint="default" w:ascii="Times New Roman" w:hAnsi="Times New Roman" w:eastAsia="宋体" w:cs="Times New Roman"/>
          <w:b/>
          <w:bCs/>
          <w:color w:val="auto"/>
          <w:sz w:val="36"/>
          <w:szCs w:val="36"/>
          <w:highlight w:val="none"/>
        </w:rPr>
      </w:pPr>
      <w:r>
        <w:rPr>
          <w:rStyle w:val="21"/>
          <w:rFonts w:hint="default" w:ascii="Times New Roman" w:hAnsi="Times New Roman" w:eastAsia="宋体" w:cs="Times New Roman"/>
          <w:b/>
          <w:bCs/>
          <w:color w:val="auto"/>
          <w:sz w:val="36"/>
          <w:szCs w:val="36"/>
          <w:highlight w:val="none"/>
        </w:rPr>
        <w:t>各类奖项</w:t>
      </w:r>
    </w:p>
    <w:tbl>
      <w:tblPr>
        <w:tblStyle w:val="19"/>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2498B60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407324">
            <w:pPr>
              <w:pStyle w:val="11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627429">
            <w:pPr>
              <w:pStyle w:val="110"/>
              <w:wordWrap/>
              <w:overflowPunct/>
              <w:topLinePunct w:val="0"/>
              <w:bidi w:val="0"/>
              <w:spacing w:line="300" w:lineRule="auto"/>
              <w:jc w:val="center"/>
              <w:rPr>
                <w:rStyle w:val="21"/>
                <w:rFonts w:hint="default" w:ascii="Times New Roman" w:hAnsi="Times New Roman" w:eastAsia="宋体" w:cs="Times New Roman"/>
                <w:b w:val="0"/>
                <w:bCs w:val="0"/>
                <w:i w:val="0"/>
                <w:iCs w:val="0"/>
                <w:smallCaps w:val="0"/>
                <w:color w:val="auto"/>
                <w:sz w:val="24"/>
                <w:szCs w:val="24"/>
                <w:highlight w:val="none"/>
              </w:rPr>
            </w:pPr>
            <w:r>
              <w:rPr>
                <w:rStyle w:val="21"/>
                <w:rFonts w:hint="default" w:ascii="Times New Roman" w:hAnsi="Times New Roman" w:eastAsia="宋体" w:cs="Times New Roman"/>
                <w:b w:val="0"/>
                <w:bCs w:val="0"/>
                <w:i w:val="0"/>
                <w:iCs w:val="0"/>
                <w:smallCaps w:val="0"/>
                <w:color w:val="auto"/>
                <w:sz w:val="24"/>
                <w:szCs w:val="24"/>
                <w:highlight w:val="none"/>
              </w:rPr>
              <w:t xml:space="preserve">查看 </w:t>
            </w:r>
          </w:p>
        </w:tc>
      </w:tr>
      <w:tr w14:paraId="2FD1E23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7F96B74">
            <w:pPr>
              <w:pStyle w:val="11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82" w:name="MC_1"/>
            <w:bookmarkEnd w:id="282"/>
            <w:r>
              <w:rPr>
                <w:rStyle w:val="21"/>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5DE724">
            <w:pPr>
              <w:pStyle w:val="110"/>
              <w:wordWrap/>
              <w:overflowPunct/>
              <w:topLinePunct w:val="0"/>
              <w:bidi w:val="0"/>
              <w:spacing w:line="300" w:lineRule="auto"/>
              <w:rPr>
                <w:rStyle w:val="21"/>
                <w:rFonts w:hint="default" w:ascii="Times New Roman" w:hAnsi="Times New Roman" w:eastAsia="宋体" w:cs="Times New Roman"/>
                <w:b w:val="0"/>
                <w:bCs w:val="0"/>
                <w:i w:val="0"/>
                <w:iCs w:val="0"/>
                <w:smallCaps w:val="0"/>
                <w:color w:val="auto"/>
                <w:sz w:val="24"/>
                <w:szCs w:val="24"/>
                <w:highlight w:val="none"/>
              </w:rPr>
            </w:pPr>
            <w:bookmarkStart w:id="283" w:name="ChaKan_2"/>
            <w:bookmarkEnd w:id="283"/>
          </w:p>
        </w:tc>
      </w:tr>
    </w:tbl>
    <w:p w14:paraId="33C01543">
      <w:pPr>
        <w:pStyle w:val="11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4D701D15">
      <w:pPr>
        <w:pStyle w:val="11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50B85C0C">
      <w:pPr>
        <w:pStyle w:val="110"/>
        <w:wordWrap/>
        <w:overflowPunct/>
        <w:topLinePunct w:val="0"/>
        <w:bidi w:val="0"/>
        <w:spacing w:before="240" w:after="240" w:line="300" w:lineRule="auto"/>
        <w:rPr>
          <w:rStyle w:val="21"/>
          <w:rFonts w:hint="default" w:ascii="Times New Roman" w:hAnsi="Times New Roman" w:eastAsia="宋体" w:cs="Times New Roman"/>
          <w:color w:val="auto"/>
          <w:sz w:val="24"/>
          <w:szCs w:val="24"/>
          <w:highlight w:val="none"/>
        </w:rPr>
      </w:pPr>
      <w:r>
        <w:rPr>
          <w:rStyle w:val="21"/>
          <w:rFonts w:hint="default" w:ascii="Times New Roman" w:hAnsi="Times New Roman" w:eastAsia="宋体" w:cs="Times New Roman"/>
          <w:color w:val="auto"/>
          <w:highlight w:val="none"/>
        </w:rPr>
        <w:t> </w:t>
      </w:r>
    </w:p>
    <w:p w14:paraId="41A57A1A">
      <w:pPr>
        <w:pStyle w:val="111"/>
        <w:wordWrap/>
        <w:overflowPunct/>
        <w:topLinePunct w:val="0"/>
        <w:bidi w:val="0"/>
        <w:spacing w:line="300" w:lineRule="auto"/>
        <w:jc w:val="left"/>
        <w:outlineLvl w:val="2"/>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r>
        <w:rPr>
          <w:rStyle w:val="21"/>
          <w:rFonts w:hint="default" w:ascii="Times New Roman" w:hAnsi="Times New Roman" w:eastAsia="宋体" w:cs="Times New Roman"/>
          <w:b/>
          <w:color w:val="auto"/>
          <w:sz w:val="28"/>
          <w:highlight w:val="none"/>
        </w:rPr>
        <w:t xml:space="preserve">  生产厂家的产品宣传彩页或样册</w:t>
      </w:r>
    </w:p>
    <w:p w14:paraId="2FEB7D95">
      <w:pPr>
        <w:pStyle w:val="112"/>
        <w:wordWrap/>
        <w:overflowPunct/>
        <w:topLinePunct w:val="0"/>
        <w:bidi w:val="0"/>
        <w:spacing w:line="300" w:lineRule="auto"/>
        <w:jc w:val="center"/>
        <w:rPr>
          <w:rStyle w:val="21"/>
          <w:rFonts w:hint="default" w:ascii="Times New Roman" w:hAnsi="Times New Roman" w:eastAsia="宋体" w:cs="Times New Roman"/>
          <w:b/>
          <w:bCs/>
          <w:color w:val="auto"/>
          <w:sz w:val="24"/>
          <w:szCs w:val="24"/>
          <w:highlight w:val="none"/>
        </w:rPr>
      </w:pPr>
    </w:p>
    <w:p w14:paraId="60124BFB">
      <w:pPr>
        <w:pStyle w:val="112"/>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1"/>
          <w:rFonts w:hint="default" w:ascii="Times New Roman" w:hAnsi="Times New Roman" w:eastAsia="宋体" w:cs="Times New Roman"/>
          <w:b/>
          <w:bCs/>
          <w:color w:val="auto"/>
          <w:sz w:val="28"/>
          <w:szCs w:val="28"/>
          <w:highlight w:val="none"/>
        </w:rPr>
      </w:pPr>
      <w:r>
        <w:rPr>
          <w:rStyle w:val="21"/>
          <w:rFonts w:hint="default" w:ascii="Times New Roman" w:hAnsi="Times New Roman" w:eastAsia="宋体" w:cs="Times New Roman"/>
          <w:b/>
          <w:bCs/>
          <w:color w:val="auto"/>
          <w:sz w:val="28"/>
          <w:szCs w:val="28"/>
          <w:highlight w:val="none"/>
        </w:rPr>
        <w:t>生产厂家的产品宣传彩页或样册（若有的话）</w:t>
      </w:r>
    </w:p>
    <w:p w14:paraId="74EC190B">
      <w:pPr>
        <w:widowControl w:val="0"/>
        <w:wordWrap/>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p>
    <w:p w14:paraId="2AC86A9C">
      <w:pPr>
        <w:pStyle w:val="121"/>
        <w:wordWrap/>
        <w:overflowPunct/>
        <w:topLinePunct w:val="0"/>
        <w:bidi w:val="0"/>
        <w:spacing w:line="300" w:lineRule="auto"/>
        <w:jc w:val="left"/>
        <w:outlineLvl w:val="1"/>
        <w:rPr>
          <w:rStyle w:val="21"/>
          <w:rFonts w:hint="default" w:ascii="Times New Roman" w:hAnsi="Times New Roman" w:eastAsia="宋体" w:cs="Times New Roman"/>
          <w:highlight w:val="none"/>
        </w:rPr>
      </w:pPr>
      <w:r>
        <w:rPr>
          <w:rFonts w:hint="default" w:ascii="Times New Roman" w:hAnsi="Times New Roman" w:eastAsia="宋体" w:cs="Times New Roman"/>
          <w:color w:val="auto"/>
          <w:sz w:val="24"/>
          <w:szCs w:val="24"/>
          <w:highlight w:val="none"/>
          <w:lang w:val="en-US" w:eastAsia="zh-CN" w:bidi="ar-SA"/>
        </w:rPr>
        <w:br w:type="page" w:clear="all"/>
      </w:r>
      <w:bookmarkStart w:id="284" w:name="_Toc256000024"/>
      <w:bookmarkStart w:id="285" w:name="_Toc30171"/>
      <w:r>
        <w:rPr>
          <w:rStyle w:val="21"/>
          <w:rFonts w:hint="default" w:ascii="Times New Roman" w:hAnsi="Times New Roman" w:eastAsia="宋体" w:cs="Times New Roman"/>
          <w:b/>
          <w:color w:val="000000"/>
          <w:sz w:val="32"/>
          <w:highlight w:val="none"/>
        </w:rPr>
        <w:t>十二、中小企业声明函</w:t>
      </w:r>
      <w:bookmarkEnd w:id="284"/>
    </w:p>
    <w:p w14:paraId="099493D8">
      <w:pPr>
        <w:pStyle w:val="114"/>
        <w:wordWrap/>
        <w:overflowPunct/>
        <w:topLinePunct w:val="0"/>
        <w:bidi w:val="0"/>
        <w:spacing w:line="300" w:lineRule="auto"/>
        <w:outlineLvl w:val="9"/>
        <w:rPr>
          <w:rStyle w:val="21"/>
          <w:rFonts w:hint="default" w:ascii="Times New Roman" w:hAnsi="Times New Roman" w:eastAsia="宋体" w:cs="Times New Roman"/>
          <w:spacing w:val="7"/>
          <w:highlight w:val="none"/>
        </w:rPr>
      </w:pPr>
      <w:r>
        <w:rPr>
          <w:rStyle w:val="21"/>
          <w:rFonts w:hint="default" w:ascii="Times New Roman" w:hAnsi="Times New Roman" w:eastAsia="宋体" w:cs="Times New Roman"/>
          <w:color w:val="000000"/>
          <w:highlight w:val="none"/>
        </w:rPr>
        <w:t xml:space="preserve">﻿ </w:t>
      </w:r>
    </w:p>
    <w:p w14:paraId="7E483741">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  </w:t>
      </w:r>
    </w:p>
    <w:p w14:paraId="57B58A8B">
      <w:pPr>
        <w:pStyle w:val="114"/>
        <w:wordWrap/>
        <w:overflowPunct/>
        <w:topLinePunct w:val="0"/>
        <w:bidi w:val="0"/>
        <w:spacing w:before="320" w:after="320" w:line="300" w:lineRule="auto"/>
        <w:jc w:val="center"/>
        <w:rPr>
          <w:rStyle w:val="21"/>
          <w:rFonts w:hint="default" w:ascii="Times New Roman" w:hAnsi="Times New Roman" w:eastAsia="宋体" w:cs="Times New Roman"/>
          <w:sz w:val="32"/>
          <w:szCs w:val="32"/>
          <w:highlight w:val="none"/>
        </w:rPr>
      </w:pPr>
      <w:r>
        <w:rPr>
          <w:rStyle w:val="21"/>
          <w:rFonts w:hint="default" w:ascii="Times New Roman" w:hAnsi="Times New Roman" w:eastAsia="宋体" w:cs="Times New Roman"/>
          <w:color w:val="000000"/>
          <w:sz w:val="32"/>
          <w:szCs w:val="32"/>
          <w:highlight w:val="none"/>
        </w:rPr>
        <w:t>中小企业声明函（货物）</w:t>
      </w:r>
    </w:p>
    <w:p w14:paraId="4C4A34C6">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039E3FE5">
      <w:pPr>
        <w:pStyle w:val="114"/>
        <w:wordWrap/>
        <w:overflowPunct/>
        <w:topLinePunct w:val="0"/>
        <w:bidi w:val="0"/>
        <w:spacing w:before="320" w:after="320" w:line="300" w:lineRule="auto"/>
        <w:jc w:val="center"/>
        <w:rPr>
          <w:rStyle w:val="21"/>
          <w:rFonts w:hint="default" w:ascii="Times New Roman" w:hAnsi="Times New Roman" w:eastAsia="宋体" w:cs="Times New Roman"/>
          <w:sz w:val="32"/>
          <w:szCs w:val="32"/>
          <w:highlight w:val="none"/>
        </w:rPr>
      </w:pPr>
      <w:r>
        <w:rPr>
          <w:rStyle w:val="21"/>
          <w:rFonts w:hint="default" w:ascii="Times New Roman" w:hAnsi="Times New Roman" w:eastAsia="宋体" w:cs="Times New Roman"/>
          <w:color w:val="000000"/>
          <w:sz w:val="32"/>
          <w:szCs w:val="32"/>
          <w:highlight w:val="none"/>
        </w:rPr>
        <w:t> </w:t>
      </w:r>
    </w:p>
    <w:p w14:paraId="0B1E3234">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11702BE0">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以上企业，不属于大企业的分支机构，不存在控股股东为大企业的情形，也不存在与大企业的负责人为同一人的情形。 </w:t>
      </w:r>
    </w:p>
    <w:p w14:paraId="055B6CA2">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本企业对上述声明内容的真实性负责。如有虚假，将依法承担相应责任。 </w:t>
      </w:r>
    </w:p>
    <w:p w14:paraId="0FB1535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企业名称（盖章）：   </w:t>
      </w:r>
    </w:p>
    <w:p w14:paraId="01D25858">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日期：   </w:t>
      </w:r>
    </w:p>
    <w:p w14:paraId="032CBD27">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注：供应商对照《关于印发中小企业划型标准规定的通知》（工信部联企业【2011】300号）中的标准，明确标的制造商所属企业类型。</w:t>
      </w:r>
    </w:p>
    <w:p w14:paraId="4EF3FF7D">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从业人员、营业收入、资产总额填报上一年度数据，无上一年度数据的新成立企业可不填报。</w:t>
      </w:r>
    </w:p>
    <w:p w14:paraId="1F98F8DA">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47B303D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附：中小企业划型标准规定</w:t>
      </w:r>
    </w:p>
    <w:p w14:paraId="65965CB9">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（一）农、林、牧、渔业。营业收入20000万元以下的为中小微型企业。其中，营业收入500万元及以上的为中型企业，营业收入50万元及以上的为小型企业，营业收入50万元以下的为微型企业。</w:t>
      </w:r>
    </w:p>
    <w:p w14:paraId="059FAE64">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D299856">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A1A24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12515E9">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60572DD">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206A145">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277837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5FBB0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D921EF">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52A85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E235FCB">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609B2AC">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6B9A33E">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CEA09DC">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32D58F">
      <w:pPr>
        <w:pStyle w:val="114"/>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（十六）其他未列明行业。从业人员300人以下的为中小微型企业。其中，从业人员100人及以上的为中型企业；从业人员10人及以上的为小型企业；从业人员10人以下的为微型企业。 </w:t>
      </w:r>
    </w:p>
    <w:p w14:paraId="658924E2">
      <w:pPr>
        <w:pStyle w:val="122"/>
        <w:wordWrap/>
        <w:overflowPunct/>
        <w:topLinePunct w:val="0"/>
        <w:bidi w:val="0"/>
        <w:spacing w:line="300" w:lineRule="auto"/>
        <w:jc w:val="left"/>
        <w:outlineLvl w:val="1"/>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br w:type="page"/>
      </w:r>
      <w:bookmarkStart w:id="286" w:name="_Toc256000025"/>
      <w:r>
        <w:rPr>
          <w:rStyle w:val="21"/>
          <w:rFonts w:hint="default" w:ascii="Times New Roman" w:hAnsi="Times New Roman" w:eastAsia="宋体" w:cs="Times New Roman"/>
          <w:b/>
          <w:color w:val="000000"/>
          <w:sz w:val="32"/>
          <w:highlight w:val="none"/>
        </w:rPr>
        <w:t>十三、残疾人福利性单位声明函</w:t>
      </w:r>
      <w:bookmarkEnd w:id="286"/>
    </w:p>
    <w:p w14:paraId="2839D1E4">
      <w:pPr>
        <w:pStyle w:val="123"/>
        <w:wordWrap/>
        <w:overflowPunct/>
        <w:topLinePunct w:val="0"/>
        <w:bidi w:val="0"/>
        <w:spacing w:before="320" w:after="320" w:line="300" w:lineRule="auto"/>
        <w:jc w:val="center"/>
        <w:rPr>
          <w:rStyle w:val="21"/>
          <w:rFonts w:hint="default" w:ascii="Times New Roman" w:hAnsi="Times New Roman" w:eastAsia="宋体" w:cs="Times New Roman"/>
          <w:sz w:val="32"/>
          <w:szCs w:val="32"/>
          <w:highlight w:val="none"/>
        </w:rPr>
      </w:pPr>
      <w:r>
        <w:rPr>
          <w:rStyle w:val="21"/>
          <w:rFonts w:hint="default" w:ascii="Times New Roman" w:hAnsi="Times New Roman" w:eastAsia="宋体" w:cs="Times New Roman"/>
          <w:color w:val="000000"/>
          <w:sz w:val="32"/>
          <w:szCs w:val="32"/>
          <w:highlight w:val="none"/>
        </w:rPr>
        <w:t>残疾人福利性单位声明函</w:t>
      </w:r>
    </w:p>
    <w:p w14:paraId="39D2D944">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24A0ABBD">
      <w:pPr>
        <w:pStyle w:val="123"/>
        <w:wordWrap/>
        <w:overflowPunct/>
        <w:topLinePunct w:val="0"/>
        <w:bidi w:val="0"/>
        <w:spacing w:before="320" w:after="320" w:line="300" w:lineRule="auto"/>
        <w:jc w:val="center"/>
        <w:rPr>
          <w:rStyle w:val="21"/>
          <w:rFonts w:hint="default" w:ascii="Times New Roman" w:hAnsi="Times New Roman" w:eastAsia="宋体" w:cs="Times New Roman"/>
          <w:sz w:val="32"/>
          <w:szCs w:val="32"/>
          <w:highlight w:val="none"/>
        </w:rPr>
      </w:pPr>
      <w:r>
        <w:rPr>
          <w:rStyle w:val="21"/>
          <w:rFonts w:hint="default" w:ascii="Times New Roman" w:hAnsi="Times New Roman" w:eastAsia="宋体" w:cs="Times New Roman"/>
          <w:color w:val="000000"/>
          <w:sz w:val="32"/>
          <w:szCs w:val="32"/>
          <w:highlight w:val="none"/>
        </w:rPr>
        <w:t> </w:t>
      </w:r>
    </w:p>
    <w:p w14:paraId="425DE315">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393DC838">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72DED47D">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本单位对上述声明的真实性负责。如有虚假，将依法承担相应责任。</w:t>
      </w:r>
    </w:p>
    <w:p w14:paraId="55ADA776">
      <w:pPr>
        <w:pStyle w:val="123"/>
        <w:wordWrap/>
        <w:overflowPunct/>
        <w:topLinePunct w:val="0"/>
        <w:bidi w:val="0"/>
        <w:spacing w:before="240" w:after="240" w:line="300" w:lineRule="auto"/>
        <w:jc w:val="center"/>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23BAEB7D">
      <w:pPr>
        <w:pStyle w:val="123"/>
        <w:wordWrap/>
        <w:overflowPunct/>
        <w:topLinePunct w:val="0"/>
        <w:bidi w:val="0"/>
        <w:spacing w:before="240" w:after="240" w:line="300" w:lineRule="auto"/>
        <w:jc w:val="center"/>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034EE792">
      <w:pPr>
        <w:pStyle w:val="123"/>
        <w:wordWrap/>
        <w:overflowPunct/>
        <w:topLinePunct w:val="0"/>
        <w:bidi w:val="0"/>
        <w:spacing w:before="240" w:after="240" w:line="300" w:lineRule="auto"/>
        <w:jc w:val="center"/>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 </w:t>
      </w:r>
    </w:p>
    <w:p w14:paraId="27921C76">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单位名称（盖章）：   </w:t>
      </w:r>
    </w:p>
    <w:p w14:paraId="040235FD">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日期：   </w:t>
      </w:r>
    </w:p>
    <w:p w14:paraId="43357563">
      <w:pPr>
        <w:pStyle w:val="123"/>
        <w:wordWrap/>
        <w:overflowPunct/>
        <w:topLinePunct w:val="0"/>
        <w:bidi w:val="0"/>
        <w:spacing w:before="240" w:after="240" w:line="300" w:lineRule="auto"/>
        <w:rPr>
          <w:rStyle w:val="21"/>
          <w:rFonts w:hint="default" w:ascii="Times New Roman" w:hAnsi="Times New Roman" w:eastAsia="宋体" w:cs="Times New Roman"/>
          <w:sz w:val="24"/>
          <w:szCs w:val="24"/>
          <w:highlight w:val="none"/>
        </w:rPr>
      </w:pPr>
      <w:r>
        <w:rPr>
          <w:rStyle w:val="21"/>
          <w:rFonts w:hint="default" w:ascii="Times New Roman" w:hAnsi="Times New Roman" w:eastAsia="宋体" w:cs="Times New Roman"/>
          <w:color w:val="000000"/>
          <w:highlight w:val="none"/>
        </w:rPr>
        <w:t>注：若供应商对照《关于促进残疾人就业政府采购政策的通知》（财库〔2017〕141号）中的规定，明确不符合残疾人福利性单位条件的，则无需提供此声明函。</w:t>
      </w:r>
    </w:p>
    <w:p w14:paraId="3123FDDE">
      <w:pPr>
        <w:pStyle w:val="124"/>
        <w:wordWrap/>
        <w:overflowPunct/>
        <w:topLinePunct w:val="0"/>
        <w:bidi w:val="0"/>
        <w:spacing w:line="300" w:lineRule="auto"/>
        <w:jc w:val="left"/>
        <w:outlineLvl w:val="1"/>
        <w:rPr>
          <w:rStyle w:val="21"/>
          <w:rFonts w:hint="default" w:ascii="Times New Roman" w:hAnsi="Times New Roman" w:eastAsia="宋体" w:cs="Times New Roman"/>
          <w:highlight w:val="none"/>
        </w:rPr>
      </w:pPr>
      <w:r>
        <w:rPr>
          <w:rStyle w:val="21"/>
          <w:rFonts w:hint="default" w:ascii="Times New Roman" w:hAnsi="Times New Roman" w:eastAsia="宋体" w:cs="Times New Roman"/>
          <w:color w:val="000000"/>
          <w:highlight w:val="none"/>
        </w:rPr>
        <w:br w:type="page"/>
      </w:r>
      <w:bookmarkStart w:id="287" w:name="_Toc256000026"/>
      <w:r>
        <w:rPr>
          <w:rStyle w:val="21"/>
          <w:rFonts w:hint="default" w:ascii="Times New Roman" w:hAnsi="Times New Roman" w:eastAsia="宋体" w:cs="Times New Roman"/>
          <w:b/>
          <w:color w:val="000000"/>
          <w:sz w:val="32"/>
          <w:highlight w:val="none"/>
        </w:rPr>
        <w:t>十四、监狱企业的证明文件</w:t>
      </w:r>
      <w:bookmarkEnd w:id="287"/>
    </w:p>
    <w:p w14:paraId="0E1E6309">
      <w:pPr>
        <w:pStyle w:val="125"/>
        <w:keepNext/>
        <w:keepLines/>
        <w:wordWrap/>
        <w:overflowPunct/>
        <w:topLinePunct w:val="0"/>
        <w:bidi w:val="0"/>
        <w:spacing w:before="260" w:after="260" w:line="300" w:lineRule="auto"/>
        <w:jc w:val="center"/>
        <w:rPr>
          <w:rStyle w:val="21"/>
          <w:rFonts w:hint="default" w:ascii="Times New Roman" w:hAnsi="Times New Roman" w:eastAsia="宋体" w:cs="Times New Roman"/>
          <w:sz w:val="28"/>
          <w:szCs w:val="28"/>
          <w:highlight w:val="none"/>
        </w:rPr>
      </w:pPr>
      <w:bookmarkStart w:id="288" w:name="_Toc40430384"/>
      <w:bookmarkStart w:id="289" w:name="_Toc35244896"/>
      <w:r>
        <w:rPr>
          <w:rStyle w:val="21"/>
          <w:rFonts w:hint="default" w:ascii="Times New Roman" w:hAnsi="Times New Roman" w:eastAsia="宋体" w:cs="Times New Roman"/>
          <w:color w:val="000000"/>
          <w:sz w:val="28"/>
          <w:szCs w:val="28"/>
          <w:highlight w:val="none"/>
        </w:rPr>
        <w:t>监狱企业的证明文件</w:t>
      </w:r>
      <w:bookmarkEnd w:id="288"/>
      <w:bookmarkEnd w:id="289"/>
    </w:p>
    <w:p w14:paraId="32438477">
      <w:pPr>
        <w:pStyle w:val="125"/>
        <w:wordWrap/>
        <w:overflowPunct/>
        <w:topLinePunct w:val="0"/>
        <w:bidi w:val="0"/>
        <w:spacing w:line="300" w:lineRule="auto"/>
        <w:rPr>
          <w:rStyle w:val="21"/>
          <w:rFonts w:hint="default" w:ascii="Times New Roman" w:hAnsi="Times New Roman" w:eastAsia="宋体" w:cs="Times New Roman"/>
          <w:highlight w:val="none"/>
        </w:rPr>
      </w:pPr>
      <w:r>
        <w:rPr>
          <w:rStyle w:val="21"/>
          <w:rFonts w:hint="default" w:ascii="Times New Roman" w:hAnsi="Times New Roman" w:eastAsia="宋体" w:cs="Times New Roman"/>
          <w:color w:val="000000"/>
          <w:highlight w:val="none"/>
        </w:rPr>
        <w:t xml:space="preserve"> </w:t>
      </w:r>
    </w:p>
    <w:p w14:paraId="5C5AE844">
      <w:pPr>
        <w:pStyle w:val="126"/>
        <w:wordWrap/>
        <w:overflowPunct/>
        <w:topLinePunct w:val="0"/>
        <w:bidi w:val="0"/>
        <w:spacing w:line="300" w:lineRule="auto"/>
        <w:rPr>
          <w:rStyle w:val="21"/>
          <w:rFonts w:hint="default" w:ascii="Times New Roman" w:hAnsi="Times New Roman" w:eastAsia="宋体" w:cs="Times New Roman"/>
          <w:highlight w:val="none"/>
        </w:rPr>
      </w:pPr>
      <w:r>
        <w:rPr>
          <w:rStyle w:val="21"/>
          <w:rFonts w:hint="default" w:ascii="Times New Roman" w:hAnsi="Times New Roman" w:eastAsia="宋体" w:cs="Times New Roman"/>
          <w:color w:val="000000"/>
          <w:highlight w:val="none"/>
        </w:rPr>
        <w:t>注：若供应商对照《关于政府采购支持监狱企业发展有关问题的通知》（财库〔2014〕68号）中的规定，明确不符合监狱企业条件的，则无需提供相关证明文件。</w:t>
      </w:r>
    </w:p>
    <w:p w14:paraId="22689DF8">
      <w:pPr>
        <w:pStyle w:val="116"/>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000000"/>
          <w:highlight w:val="none"/>
        </w:rPr>
        <w:br w:type="page"/>
      </w:r>
      <w:r>
        <w:rPr>
          <w:rStyle w:val="21"/>
          <w:rFonts w:hint="default" w:ascii="Times New Roman" w:hAnsi="Times New Roman" w:eastAsia="宋体" w:cs="Times New Roman"/>
          <w:b/>
          <w:color w:val="auto"/>
          <w:sz w:val="32"/>
          <w:highlight w:val="none"/>
        </w:rPr>
        <w:t>十</w:t>
      </w:r>
      <w:r>
        <w:rPr>
          <w:rStyle w:val="21"/>
          <w:rFonts w:hint="default" w:ascii="Times New Roman" w:hAnsi="Times New Roman" w:eastAsia="宋体" w:cs="Times New Roman"/>
          <w:b/>
          <w:color w:val="auto"/>
          <w:sz w:val="32"/>
          <w:highlight w:val="none"/>
          <w:lang w:val="en-US" w:eastAsia="zh-CN"/>
        </w:rPr>
        <w:t>五</w:t>
      </w:r>
      <w:r>
        <w:rPr>
          <w:rStyle w:val="21"/>
          <w:rFonts w:hint="default" w:ascii="Times New Roman" w:hAnsi="Times New Roman" w:eastAsia="宋体" w:cs="Times New Roman"/>
          <w:b/>
          <w:color w:val="auto"/>
          <w:sz w:val="32"/>
          <w:highlight w:val="none"/>
        </w:rPr>
        <w:t>、检测报告</w:t>
      </w:r>
      <w:bookmarkEnd w:id="285"/>
    </w:p>
    <w:p w14:paraId="69B4787A">
      <w:pPr>
        <w:pStyle w:val="117"/>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1"/>
          <w:rFonts w:hint="default" w:ascii="Times New Roman" w:hAnsi="Times New Roman" w:eastAsia="宋体" w:cs="Times New Roman"/>
          <w:b w:val="0"/>
          <w:bCs w:val="0"/>
          <w:color w:val="auto"/>
          <w:sz w:val="36"/>
          <w:szCs w:val="36"/>
          <w:highlight w:val="none"/>
        </w:rPr>
      </w:pPr>
      <w:r>
        <w:rPr>
          <w:rStyle w:val="21"/>
          <w:rFonts w:hint="default" w:ascii="Times New Roman" w:hAnsi="Times New Roman" w:eastAsia="宋体" w:cs="Times New Roman"/>
          <w:b w:val="0"/>
          <w:bCs w:val="0"/>
          <w:color w:val="auto"/>
          <w:sz w:val="36"/>
          <w:szCs w:val="36"/>
          <w:highlight w:val="none"/>
        </w:rPr>
        <w:t>检测报告（如有）</w:t>
      </w:r>
    </w:p>
    <w:p w14:paraId="0BF7E92A">
      <w:pPr>
        <w:pStyle w:val="119"/>
        <w:wordWrap/>
        <w:overflowPunct/>
        <w:topLinePunct w:val="0"/>
        <w:bidi w:val="0"/>
        <w:spacing w:line="300" w:lineRule="auto"/>
        <w:jc w:val="left"/>
        <w:outlineLvl w:val="1"/>
        <w:rPr>
          <w:rStyle w:val="21"/>
          <w:rFonts w:hint="default" w:ascii="Times New Roman" w:hAnsi="Times New Roman" w:eastAsia="宋体" w:cs="Times New Roman"/>
          <w:color w:val="auto"/>
          <w:highlight w:val="none"/>
        </w:rPr>
      </w:pPr>
      <w:r>
        <w:rPr>
          <w:rStyle w:val="21"/>
          <w:rFonts w:hint="default" w:ascii="Times New Roman" w:hAnsi="Times New Roman" w:eastAsia="宋体" w:cs="Times New Roman"/>
          <w:color w:val="auto"/>
          <w:highlight w:val="none"/>
        </w:rPr>
        <w:br w:type="page"/>
      </w:r>
      <w:bookmarkStart w:id="290" w:name="_Toc1363"/>
      <w:r>
        <w:rPr>
          <w:rStyle w:val="21"/>
          <w:rFonts w:hint="default" w:ascii="Times New Roman" w:hAnsi="Times New Roman" w:eastAsia="宋体" w:cs="Times New Roman"/>
          <w:b/>
          <w:color w:val="auto"/>
          <w:sz w:val="32"/>
          <w:highlight w:val="none"/>
        </w:rPr>
        <w:t>十</w:t>
      </w:r>
      <w:r>
        <w:rPr>
          <w:rStyle w:val="21"/>
          <w:rFonts w:hint="default" w:ascii="Times New Roman" w:hAnsi="Times New Roman" w:eastAsia="宋体" w:cs="Times New Roman"/>
          <w:b/>
          <w:color w:val="auto"/>
          <w:sz w:val="32"/>
          <w:highlight w:val="none"/>
          <w:lang w:val="en-US" w:eastAsia="zh-CN"/>
        </w:rPr>
        <w:t>六</w:t>
      </w:r>
      <w:r>
        <w:rPr>
          <w:rStyle w:val="21"/>
          <w:rFonts w:hint="default" w:ascii="Times New Roman" w:hAnsi="Times New Roman" w:eastAsia="宋体" w:cs="Times New Roman"/>
          <w:b/>
          <w:color w:val="auto"/>
          <w:sz w:val="32"/>
          <w:highlight w:val="none"/>
        </w:rPr>
        <w:t>、其他材料</w:t>
      </w:r>
      <w:bookmarkEnd w:id="290"/>
    </w:p>
    <w:p w14:paraId="7A6AEB67">
      <w:pPr>
        <w:wordWrap/>
        <w:overflowPunct/>
        <w:topLinePunct w:val="0"/>
        <w:bidi w:val="0"/>
        <w:spacing w:line="300" w:lineRule="auto"/>
        <w:ind w:firstLine="400" w:firstLineChars="200"/>
        <w:jc w:val="left"/>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t xml:space="preserve"> </w:t>
      </w:r>
      <w:bookmarkEnd w:id="256"/>
    </w:p>
    <w:p w14:paraId="7E457C46">
      <w:pPr>
        <w:rPr>
          <w:color w:val="auto"/>
          <w:highlight w:val="none"/>
        </w:rPr>
      </w:pPr>
    </w:p>
    <w:sectPr>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A1D0F">
    <w:pPr>
      <w:pStyle w:val="13"/>
      <w:framePr w:wrap="around" w:vAnchor="text" w:hAnchor="margin" w:xAlign="center" w:y="1"/>
      <w:rPr>
        <w:rStyle w:val="23"/>
      </w:rPr>
    </w:pPr>
    <w:r>
      <w:fldChar w:fldCharType="begin"/>
    </w:r>
    <w:r>
      <w:rPr>
        <w:rStyle w:val="23"/>
        <w:highlight w:val="white"/>
      </w:rPr>
      <w:instrText xml:space="preserve">PAGE  </w:instrText>
    </w:r>
    <w:r>
      <w:fldChar w:fldCharType="separate"/>
    </w:r>
    <w:r>
      <w:rPr>
        <w:rStyle w:val="23"/>
        <w:highlight w:val="white"/>
      </w:rPr>
      <w:t>1</w:t>
    </w:r>
    <w:r>
      <w:fldChar w:fldCharType="end"/>
    </w:r>
  </w:p>
  <w:p w14:paraId="6044D2B4">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5BFD8">
    <w:pPr>
      <w:pStyle w:val="13"/>
      <w:framePr w:wrap="around" w:vAnchor="text" w:hAnchor="margin" w:xAlign="center" w:y="1"/>
      <w:rPr>
        <w:rStyle w:val="23"/>
      </w:rPr>
    </w:pPr>
    <w:r>
      <w:fldChar w:fldCharType="begin"/>
    </w:r>
    <w:r>
      <w:rPr>
        <w:rStyle w:val="23"/>
        <w:highlight w:val="white"/>
      </w:rPr>
      <w:instrText xml:space="preserve">PAGE  </w:instrText>
    </w:r>
    <w:r>
      <w:fldChar w:fldCharType="separate"/>
    </w:r>
    <w:r>
      <w:fldChar w:fldCharType="end"/>
    </w:r>
  </w:p>
  <w:p w14:paraId="51CDEFDE">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A6F0D">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95</w:t>
    </w:r>
    <w:r>
      <w:rPr>
        <w:rFonts w:ascii="Calibri" w:hAnsi="Calibri" w:eastAsia="宋体" w:cs="Times New Roman"/>
        <w:kern w:val="2"/>
        <w:sz w:val="18"/>
        <w:szCs w:val="18"/>
        <w:lang w:val="en-US" w:eastAsia="zh-CN" w:bidi="ar-S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BC665">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2</w:t>
    </w:r>
    <w:r>
      <w:rPr>
        <w:rFonts w:ascii="Calibri" w:hAnsi="Calibri" w:eastAsia="宋体" w:cs="Times New Roman"/>
        <w:kern w:val="2"/>
        <w:sz w:val="18"/>
        <w:szCs w:val="18"/>
        <w:lang w:val="en-US" w:eastAsia="zh-CN" w:bidi="ar-SA"/>
      </w:rPr>
      <w:fldChar w:fldCharType="end"/>
    </w:r>
  </w:p>
  <w:p w14:paraId="30416AC5">
    <w:pPr>
      <w:widowControl w:val="0"/>
      <w:snapToGrid w:val="0"/>
      <w:ind w:firstLine="360"/>
      <w:jc w:val="left"/>
      <w:rPr>
        <w:rFonts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065C6">
    <w:pPr>
      <w:pStyle w:val="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95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07E8">
    <w:pPr>
      <w:pStyle w:val="1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1B49906">
    <w:pPr>
      <w:pStyle w:val="1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B395">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7BB1A2"/>
    <w:multiLevelType w:val="singleLevel"/>
    <w:tmpl w:val="C17BB1A2"/>
    <w:lvl w:ilvl="0" w:tentative="0">
      <w:start w:val="1"/>
      <w:numFmt w:val="chineseCounting"/>
      <w:suff w:val="space"/>
      <w:lvlText w:val="第%1章"/>
      <w:lvlJc w:val="left"/>
      <w:rPr>
        <w:rFonts w:hint="eastAsia"/>
      </w:rPr>
    </w:lvl>
  </w:abstractNum>
  <w:abstractNum w:abstractNumId="1">
    <w:nsid w:val="451C0FF7"/>
    <w:multiLevelType w:val="multilevel"/>
    <w:tmpl w:val="451C0FF7"/>
    <w:lvl w:ilvl="0" w:tentative="0">
      <w:start w:val="1"/>
      <w:numFmt w:val="decimal"/>
      <w:lvlText w:val="%1."/>
      <w:lvlJc w:val="left"/>
      <w:pPr>
        <w:ind w:left="420" w:hanging="420"/>
      </w:pPr>
      <w:rPr>
        <w:rFonts w:hint="eastAsia"/>
      </w:rPr>
    </w:lvl>
    <w:lvl w:ilvl="1" w:tentative="0">
      <w:start w:val="1"/>
      <w:numFmt w:val="decimal"/>
      <w:lvlText w:val="%2)"/>
      <w:lvlJc w:val="left"/>
      <w:pPr>
        <w:ind w:left="840" w:hanging="4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A2113E5"/>
    <w:multiLevelType w:val="multilevel"/>
    <w:tmpl w:val="4A2113E5"/>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23EB0"/>
    <w:rsid w:val="00591981"/>
    <w:rsid w:val="01263698"/>
    <w:rsid w:val="018765AC"/>
    <w:rsid w:val="01C761D7"/>
    <w:rsid w:val="0200793B"/>
    <w:rsid w:val="020C008E"/>
    <w:rsid w:val="02B250DA"/>
    <w:rsid w:val="03630575"/>
    <w:rsid w:val="03BB1D6C"/>
    <w:rsid w:val="03E80687"/>
    <w:rsid w:val="040C0819"/>
    <w:rsid w:val="04221B65"/>
    <w:rsid w:val="04380144"/>
    <w:rsid w:val="04AC6436"/>
    <w:rsid w:val="04E946B7"/>
    <w:rsid w:val="04ED41A7"/>
    <w:rsid w:val="04F55751"/>
    <w:rsid w:val="05272B7E"/>
    <w:rsid w:val="05D215EF"/>
    <w:rsid w:val="06AE7966"/>
    <w:rsid w:val="06DF5D71"/>
    <w:rsid w:val="082E5202"/>
    <w:rsid w:val="0A8839C2"/>
    <w:rsid w:val="0AA01CBB"/>
    <w:rsid w:val="0AA83B44"/>
    <w:rsid w:val="0AA97A8C"/>
    <w:rsid w:val="0AD83203"/>
    <w:rsid w:val="0ADB11DF"/>
    <w:rsid w:val="0B896BF3"/>
    <w:rsid w:val="0BB44099"/>
    <w:rsid w:val="0C6A185F"/>
    <w:rsid w:val="0C9E222B"/>
    <w:rsid w:val="0D657A6F"/>
    <w:rsid w:val="0DB37A87"/>
    <w:rsid w:val="0E3B4FDC"/>
    <w:rsid w:val="0EDC08D9"/>
    <w:rsid w:val="0F0F7410"/>
    <w:rsid w:val="0F3D3AB4"/>
    <w:rsid w:val="0F824C1A"/>
    <w:rsid w:val="0FD61A13"/>
    <w:rsid w:val="105A290D"/>
    <w:rsid w:val="107F4121"/>
    <w:rsid w:val="11390774"/>
    <w:rsid w:val="115076CE"/>
    <w:rsid w:val="12190E6C"/>
    <w:rsid w:val="12277AE7"/>
    <w:rsid w:val="124B075F"/>
    <w:rsid w:val="12C7072D"/>
    <w:rsid w:val="13182D37"/>
    <w:rsid w:val="13BE75A1"/>
    <w:rsid w:val="13E502DD"/>
    <w:rsid w:val="14DB2A12"/>
    <w:rsid w:val="15452166"/>
    <w:rsid w:val="15512530"/>
    <w:rsid w:val="155E03E6"/>
    <w:rsid w:val="16E97CF5"/>
    <w:rsid w:val="175237F1"/>
    <w:rsid w:val="175B1444"/>
    <w:rsid w:val="176A5B2B"/>
    <w:rsid w:val="18493992"/>
    <w:rsid w:val="19DD62D1"/>
    <w:rsid w:val="1AED2CFB"/>
    <w:rsid w:val="1AF6758D"/>
    <w:rsid w:val="1B000B6A"/>
    <w:rsid w:val="1B701236"/>
    <w:rsid w:val="1BDE16DF"/>
    <w:rsid w:val="1C1B3898"/>
    <w:rsid w:val="1C57638A"/>
    <w:rsid w:val="1D6F3355"/>
    <w:rsid w:val="1E21369A"/>
    <w:rsid w:val="1E37428D"/>
    <w:rsid w:val="1EAD5F15"/>
    <w:rsid w:val="1FF47901"/>
    <w:rsid w:val="20FA1CCE"/>
    <w:rsid w:val="21743F7D"/>
    <w:rsid w:val="21B84562"/>
    <w:rsid w:val="21CF2C36"/>
    <w:rsid w:val="21F13FEA"/>
    <w:rsid w:val="22F84EEE"/>
    <w:rsid w:val="23627FFE"/>
    <w:rsid w:val="23AC219F"/>
    <w:rsid w:val="23DF164F"/>
    <w:rsid w:val="24DA0542"/>
    <w:rsid w:val="25A87DC1"/>
    <w:rsid w:val="25F929F6"/>
    <w:rsid w:val="26985C22"/>
    <w:rsid w:val="26E8081A"/>
    <w:rsid w:val="283261F1"/>
    <w:rsid w:val="288F4693"/>
    <w:rsid w:val="28AA5F5D"/>
    <w:rsid w:val="2970697D"/>
    <w:rsid w:val="2A2C60E6"/>
    <w:rsid w:val="2A66639F"/>
    <w:rsid w:val="2B6F32B8"/>
    <w:rsid w:val="2BBE0419"/>
    <w:rsid w:val="2BCA4992"/>
    <w:rsid w:val="2BD15A53"/>
    <w:rsid w:val="2BD22B22"/>
    <w:rsid w:val="2BD9525C"/>
    <w:rsid w:val="2C792640"/>
    <w:rsid w:val="2CA13945"/>
    <w:rsid w:val="2D0C39C5"/>
    <w:rsid w:val="2D5E0374"/>
    <w:rsid w:val="2DBF0527"/>
    <w:rsid w:val="2DC7790B"/>
    <w:rsid w:val="2E5F2463"/>
    <w:rsid w:val="30052AD8"/>
    <w:rsid w:val="30835995"/>
    <w:rsid w:val="30A9565F"/>
    <w:rsid w:val="30B978D3"/>
    <w:rsid w:val="30DF7082"/>
    <w:rsid w:val="31586D64"/>
    <w:rsid w:val="316311C9"/>
    <w:rsid w:val="31D3074A"/>
    <w:rsid w:val="31FD1DA6"/>
    <w:rsid w:val="32193F7E"/>
    <w:rsid w:val="323B2146"/>
    <w:rsid w:val="32B06690"/>
    <w:rsid w:val="32B4041C"/>
    <w:rsid w:val="330B416D"/>
    <w:rsid w:val="33482D6D"/>
    <w:rsid w:val="33B6577A"/>
    <w:rsid w:val="33C06DA7"/>
    <w:rsid w:val="33CD6DCE"/>
    <w:rsid w:val="344C23E9"/>
    <w:rsid w:val="348131C2"/>
    <w:rsid w:val="35C366DA"/>
    <w:rsid w:val="36070CBD"/>
    <w:rsid w:val="365271FA"/>
    <w:rsid w:val="365F11AD"/>
    <w:rsid w:val="369D2F0A"/>
    <w:rsid w:val="37074CED"/>
    <w:rsid w:val="37B00EE0"/>
    <w:rsid w:val="388B252B"/>
    <w:rsid w:val="38A1605F"/>
    <w:rsid w:val="38A94C9F"/>
    <w:rsid w:val="38AF138A"/>
    <w:rsid w:val="39A04221"/>
    <w:rsid w:val="39F514F4"/>
    <w:rsid w:val="3A005C1F"/>
    <w:rsid w:val="3A6E3D80"/>
    <w:rsid w:val="3B7A05F0"/>
    <w:rsid w:val="3C3B39CF"/>
    <w:rsid w:val="3C8B7826"/>
    <w:rsid w:val="3D536596"/>
    <w:rsid w:val="3DE03BA2"/>
    <w:rsid w:val="3E1D0952"/>
    <w:rsid w:val="3E7E7642"/>
    <w:rsid w:val="3ED2705E"/>
    <w:rsid w:val="3ED63AD5"/>
    <w:rsid w:val="404E74E8"/>
    <w:rsid w:val="41A575DC"/>
    <w:rsid w:val="41F30ACE"/>
    <w:rsid w:val="42193AFE"/>
    <w:rsid w:val="4292190E"/>
    <w:rsid w:val="42C5058D"/>
    <w:rsid w:val="431D4440"/>
    <w:rsid w:val="4346094B"/>
    <w:rsid w:val="43667E3C"/>
    <w:rsid w:val="43C57159"/>
    <w:rsid w:val="441B582E"/>
    <w:rsid w:val="444E3E15"/>
    <w:rsid w:val="455E20DB"/>
    <w:rsid w:val="455E24CE"/>
    <w:rsid w:val="45A91EAB"/>
    <w:rsid w:val="45B1382F"/>
    <w:rsid w:val="47247065"/>
    <w:rsid w:val="484D0086"/>
    <w:rsid w:val="48994F34"/>
    <w:rsid w:val="49666DA9"/>
    <w:rsid w:val="498844A2"/>
    <w:rsid w:val="49886D75"/>
    <w:rsid w:val="498F6110"/>
    <w:rsid w:val="49D60729"/>
    <w:rsid w:val="4A1470AD"/>
    <w:rsid w:val="4ACE54AE"/>
    <w:rsid w:val="4BE03822"/>
    <w:rsid w:val="4C51283A"/>
    <w:rsid w:val="4D225F85"/>
    <w:rsid w:val="4E0B0197"/>
    <w:rsid w:val="4E434405"/>
    <w:rsid w:val="4E8C7DAD"/>
    <w:rsid w:val="4ECC43FA"/>
    <w:rsid w:val="4F7F146C"/>
    <w:rsid w:val="4FE92D8A"/>
    <w:rsid w:val="50B415EA"/>
    <w:rsid w:val="50B96C00"/>
    <w:rsid w:val="50BD0F45"/>
    <w:rsid w:val="51053BF3"/>
    <w:rsid w:val="51581F75"/>
    <w:rsid w:val="51954F77"/>
    <w:rsid w:val="51D26DBB"/>
    <w:rsid w:val="51DA399B"/>
    <w:rsid w:val="522E2CD6"/>
    <w:rsid w:val="527F3531"/>
    <w:rsid w:val="52873ED9"/>
    <w:rsid w:val="52DC0984"/>
    <w:rsid w:val="530C05B0"/>
    <w:rsid w:val="53883984"/>
    <w:rsid w:val="539B0D7D"/>
    <w:rsid w:val="53C55E1F"/>
    <w:rsid w:val="53FA14D7"/>
    <w:rsid w:val="543831C7"/>
    <w:rsid w:val="54D61656"/>
    <w:rsid w:val="550146D2"/>
    <w:rsid w:val="550E4B7E"/>
    <w:rsid w:val="55FB3859"/>
    <w:rsid w:val="56F444EE"/>
    <w:rsid w:val="577E0C06"/>
    <w:rsid w:val="57D165DD"/>
    <w:rsid w:val="58364606"/>
    <w:rsid w:val="58975A79"/>
    <w:rsid w:val="58A465F5"/>
    <w:rsid w:val="59C74CE3"/>
    <w:rsid w:val="5A541E70"/>
    <w:rsid w:val="5B5A2D8E"/>
    <w:rsid w:val="5B697EEF"/>
    <w:rsid w:val="5BC6732E"/>
    <w:rsid w:val="5C335AB8"/>
    <w:rsid w:val="5CD23917"/>
    <w:rsid w:val="5D683540"/>
    <w:rsid w:val="5D7A5C2D"/>
    <w:rsid w:val="5DB669A1"/>
    <w:rsid w:val="5E400B92"/>
    <w:rsid w:val="5ECA3D86"/>
    <w:rsid w:val="5F844CA1"/>
    <w:rsid w:val="5FE769FA"/>
    <w:rsid w:val="606F1089"/>
    <w:rsid w:val="61695088"/>
    <w:rsid w:val="61774699"/>
    <w:rsid w:val="619501A8"/>
    <w:rsid w:val="61C13B66"/>
    <w:rsid w:val="62AD23D8"/>
    <w:rsid w:val="633C7B39"/>
    <w:rsid w:val="637A5C81"/>
    <w:rsid w:val="63911317"/>
    <w:rsid w:val="63EE6769"/>
    <w:rsid w:val="649C7F73"/>
    <w:rsid w:val="650855F5"/>
    <w:rsid w:val="6511265D"/>
    <w:rsid w:val="65586590"/>
    <w:rsid w:val="65911862"/>
    <w:rsid w:val="66AA6977"/>
    <w:rsid w:val="66D24176"/>
    <w:rsid w:val="66D54901"/>
    <w:rsid w:val="6707201B"/>
    <w:rsid w:val="674C43ED"/>
    <w:rsid w:val="67CB22F2"/>
    <w:rsid w:val="680E2045"/>
    <w:rsid w:val="68482329"/>
    <w:rsid w:val="68693A97"/>
    <w:rsid w:val="68A85138"/>
    <w:rsid w:val="68EA74FF"/>
    <w:rsid w:val="6911231D"/>
    <w:rsid w:val="69741EBB"/>
    <w:rsid w:val="697D6995"/>
    <w:rsid w:val="6A4D46E0"/>
    <w:rsid w:val="6B53235D"/>
    <w:rsid w:val="6BA3608B"/>
    <w:rsid w:val="6BB868A5"/>
    <w:rsid w:val="6BC4267D"/>
    <w:rsid w:val="6BEF307E"/>
    <w:rsid w:val="6C45546A"/>
    <w:rsid w:val="6C586E75"/>
    <w:rsid w:val="6C745FD2"/>
    <w:rsid w:val="6CFB766E"/>
    <w:rsid w:val="6D79502A"/>
    <w:rsid w:val="6E1515F7"/>
    <w:rsid w:val="6EAE2699"/>
    <w:rsid w:val="6EC407F2"/>
    <w:rsid w:val="6EC667AB"/>
    <w:rsid w:val="704D50B6"/>
    <w:rsid w:val="705542C1"/>
    <w:rsid w:val="70C02E53"/>
    <w:rsid w:val="7128150C"/>
    <w:rsid w:val="713E77C3"/>
    <w:rsid w:val="71494FDF"/>
    <w:rsid w:val="71986045"/>
    <w:rsid w:val="71AE62C9"/>
    <w:rsid w:val="71C13881"/>
    <w:rsid w:val="71E83E51"/>
    <w:rsid w:val="71FA0979"/>
    <w:rsid w:val="725C4440"/>
    <w:rsid w:val="748748BB"/>
    <w:rsid w:val="74BD7CC8"/>
    <w:rsid w:val="74CB28DA"/>
    <w:rsid w:val="75B50E95"/>
    <w:rsid w:val="75CD2682"/>
    <w:rsid w:val="760F67F7"/>
    <w:rsid w:val="773B361B"/>
    <w:rsid w:val="77B857AE"/>
    <w:rsid w:val="77C27899"/>
    <w:rsid w:val="78A7540C"/>
    <w:rsid w:val="78CC6425"/>
    <w:rsid w:val="78DA54C1"/>
    <w:rsid w:val="78FA19E0"/>
    <w:rsid w:val="7A052A0E"/>
    <w:rsid w:val="7A461A35"/>
    <w:rsid w:val="7A50323D"/>
    <w:rsid w:val="7A5853CF"/>
    <w:rsid w:val="7A983C8F"/>
    <w:rsid w:val="7AAD4D38"/>
    <w:rsid w:val="7AB97FCB"/>
    <w:rsid w:val="7C1C3A1B"/>
    <w:rsid w:val="7C4A7918"/>
    <w:rsid w:val="7C9D5308"/>
    <w:rsid w:val="7D310761"/>
    <w:rsid w:val="7D690EE2"/>
    <w:rsid w:val="7DC575F5"/>
    <w:rsid w:val="7DDD7058"/>
    <w:rsid w:val="7DFB6452"/>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jc w:val="left"/>
    </w:pPr>
    <w:rPr>
      <w:rFonts w:ascii="宋体" w:hAnsi="宋体"/>
      <w:sz w:val="24"/>
    </w:rPr>
  </w:style>
  <w:style w:type="paragraph" w:styleId="4">
    <w:name w:val="annotation text"/>
    <w:basedOn w:val="1"/>
    <w:qFormat/>
    <w:uiPriority w:val="0"/>
    <w:pPr>
      <w:jc w:val="left"/>
    </w:pPr>
  </w:style>
  <w:style w:type="paragraph" w:styleId="5">
    <w:name w:val="Body Text"/>
    <w:basedOn w:val="1"/>
    <w:next w:val="6"/>
    <w:qFormat/>
    <w:uiPriority w:val="99"/>
    <w:rPr>
      <w:rFonts w:ascii="楷体_GB2312" w:hAnsi="宋体" w:eastAsia="楷体_GB2312"/>
      <w:sz w:val="28"/>
      <w:szCs w:val="28"/>
    </w:rPr>
  </w:style>
  <w:style w:type="paragraph" w:styleId="6">
    <w:name w:val="Body Text First Indent"/>
    <w:basedOn w:val="5"/>
    <w:next w:val="7"/>
    <w:qFormat/>
    <w:uiPriority w:val="0"/>
    <w:pPr>
      <w:spacing w:line="360" w:lineRule="auto"/>
      <w:ind w:firstLine="200" w:firstLineChars="200"/>
    </w:pPr>
    <w:rPr>
      <w:rFonts w:ascii="仿宋_GB2312" w:hAnsi="宋体" w:eastAsia="仿宋_GB2312"/>
      <w:sz w:val="30"/>
      <w:szCs w:val="30"/>
    </w:rPr>
  </w:style>
  <w:style w:type="paragraph" w:styleId="7">
    <w:name w:val="Body Text First Indent 2"/>
    <w:basedOn w:val="8"/>
    <w:qFormat/>
    <w:uiPriority w:val="0"/>
    <w:pPr>
      <w:spacing w:line="360" w:lineRule="auto"/>
      <w:ind w:firstLine="200" w:firstLineChars="200"/>
    </w:pPr>
    <w:rPr>
      <w:rFonts w:ascii="宋体" w:eastAsia="宋体"/>
      <w:sz w:val="21"/>
      <w:szCs w:val="20"/>
    </w:rPr>
  </w:style>
  <w:style w:type="paragraph" w:styleId="8">
    <w:name w:val="Body Text Indent"/>
    <w:basedOn w:val="1"/>
    <w:next w:val="9"/>
    <w:qFormat/>
    <w:uiPriority w:val="0"/>
    <w:pPr>
      <w:ind w:firstLine="645"/>
    </w:pPr>
    <w:rPr>
      <w:rFonts w:ascii="楷体_GB2312" w:hAnsi="宋体" w:eastAsia="楷体_GB2312" w:cs="宋体"/>
      <w:sz w:val="32"/>
      <w:szCs w:val="32"/>
    </w:rPr>
  </w:style>
  <w:style w:type="paragraph" w:styleId="9">
    <w:name w:val="envelope return"/>
    <w:basedOn w:val="1"/>
    <w:qFormat/>
    <w:uiPriority w:val="0"/>
    <w:pPr>
      <w:snapToGrid w:val="0"/>
    </w:pPr>
    <w:rPr>
      <w:rFonts w:ascii="Arial" w:hAnsi="Arial" w:eastAsia="楷体_GB2312"/>
      <w:sz w:val="26"/>
    </w:rPr>
  </w:style>
  <w:style w:type="paragraph" w:styleId="10">
    <w:name w:val="Block Text"/>
    <w:basedOn w:val="1"/>
    <w:qFormat/>
    <w:uiPriority w:val="0"/>
    <w:pPr>
      <w:spacing w:after="120"/>
      <w:ind w:left="1440" w:right="700"/>
    </w:pPr>
    <w:rPr>
      <w:rFonts w:ascii="Times New Roman" w:hAnsi="Times New Roman"/>
    </w:rPr>
  </w:style>
  <w:style w:type="paragraph" w:styleId="11">
    <w:name w:val="Plain Text"/>
    <w:basedOn w:val="1"/>
    <w:qFormat/>
    <w:uiPriority w:val="99"/>
    <w:rPr>
      <w:rFonts w:ascii="宋体" w:hAnsi="宋体"/>
      <w:szCs w:val="21"/>
    </w:rPr>
  </w:style>
  <w:style w:type="paragraph" w:styleId="12">
    <w:name w:val="Date"/>
    <w:basedOn w:val="1"/>
    <w:next w:val="1"/>
    <w:qFormat/>
    <w:uiPriority w:val="0"/>
    <w:rPr>
      <w:sz w:val="24"/>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cs="Calibri"/>
      <w:b/>
      <w:bCs/>
      <w:caps/>
      <w:sz w:val="20"/>
      <w:szCs w:val="20"/>
    </w:rPr>
  </w:style>
  <w:style w:type="paragraph" w:styleId="16">
    <w:name w:val="toc 2"/>
    <w:basedOn w:val="1"/>
    <w:next w:val="1"/>
    <w:qFormat/>
    <w:uiPriority w:val="39"/>
    <w:pPr>
      <w:ind w:left="210"/>
      <w:jc w:val="left"/>
    </w:pPr>
    <w:rPr>
      <w:rFonts w:ascii="Calibri" w:hAnsi="Calibri" w:cs="Calibri"/>
      <w:smallCaps/>
      <w:sz w:val="20"/>
      <w:szCs w:val="2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rPr>
  </w:style>
  <w:style w:type="paragraph" w:styleId="18">
    <w:name w:val="Title"/>
    <w:basedOn w:val="1"/>
    <w:next w:val="1"/>
    <w:qFormat/>
    <w:uiPriority w:val="0"/>
    <w:pPr>
      <w:spacing w:before="240" w:after="60"/>
      <w:jc w:val="center"/>
      <w:outlineLvl w:val="0"/>
    </w:pPr>
    <w:rPr>
      <w:rFonts w:ascii="Arial" w:hAnsi="Arial" w:eastAsia="黑体"/>
      <w:b/>
      <w:bCs/>
      <w:sz w:val="44"/>
      <w:szCs w:val="32"/>
    </w:rPr>
  </w:style>
  <w:style w:type="table" w:styleId="20">
    <w:name w:val="Table Grid"/>
    <w:basedOn w:val="1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page number"/>
    <w:qFormat/>
    <w:uiPriority w:val="0"/>
  </w:style>
  <w:style w:type="character" w:styleId="24">
    <w:name w:val="annotation reference"/>
    <w:qFormat/>
    <w:uiPriority w:val="99"/>
    <w:rPr>
      <w:sz w:val="21"/>
    </w:rPr>
  </w:style>
  <w:style w:type="paragraph" w:customStyle="1" w:styleId="25">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26">
    <w:name w:val="正文文本11"/>
    <w:basedOn w:val="1"/>
    <w:next w:val="27"/>
    <w:qFormat/>
    <w:uiPriority w:val="0"/>
    <w:pPr>
      <w:tabs>
        <w:tab w:val="right" w:pos="2520"/>
        <w:tab w:val="left" w:pos="2880"/>
      </w:tabs>
      <w:spacing w:after="60"/>
      <w:jc w:val="left"/>
    </w:pPr>
    <w:rPr>
      <w:sz w:val="22"/>
      <w:szCs w:val="20"/>
    </w:rPr>
  </w:style>
  <w:style w:type="paragraph" w:customStyle="1" w:styleId="27">
    <w:name w:val="正文缩进11"/>
    <w:next w:val="1"/>
    <w:qFormat/>
    <w:uiPriority w:val="0"/>
    <w:pPr>
      <w:spacing w:line="240" w:lineRule="auto"/>
      <w:ind w:firstLine="420"/>
      <w:jc w:val="left"/>
    </w:pPr>
    <w:rPr>
      <w:rFonts w:hint="default" w:ascii="Arial" w:hAnsi="Arial" w:eastAsia="Arial" w:cs="Arial"/>
      <w:color w:val="000000"/>
      <w:sz w:val="21"/>
      <w:szCs w:val="21"/>
    </w:rPr>
  </w:style>
  <w:style w:type="paragraph" w:customStyle="1" w:styleId="2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9">
    <w:name w:val="Normal_14"/>
    <w:qFormat/>
    <w:uiPriority w:val="0"/>
    <w:rPr>
      <w:rFonts w:ascii="Calibri" w:hAnsi="Calibri" w:eastAsia="Times New Roman" w:cs="Times New Roman"/>
      <w:sz w:val="24"/>
      <w:szCs w:val="24"/>
    </w:rPr>
  </w:style>
  <w:style w:type="paragraph" w:customStyle="1" w:styleId="30">
    <w:name w:val="Normal_4"/>
    <w:qFormat/>
    <w:uiPriority w:val="0"/>
    <w:rPr>
      <w:rFonts w:ascii="Calibri" w:hAnsi="Calibri" w:eastAsia="Times New Roman" w:cs="Times New Roman"/>
      <w:sz w:val="24"/>
      <w:szCs w:val="24"/>
    </w:rPr>
  </w:style>
  <w:style w:type="character" w:customStyle="1" w:styleId="31">
    <w:name w:val="超链接1"/>
    <w:qFormat/>
    <w:uiPriority w:val="99"/>
    <w:rPr>
      <w:rFonts w:ascii="Calibri" w:hAnsi="Calibri"/>
      <w:kern w:val="2"/>
      <w:sz w:val="21"/>
      <w:szCs w:val="22"/>
      <w:lang w:val="en-US" w:eastAsia="zh-CN" w:bidi="ar-SA"/>
    </w:rPr>
  </w:style>
  <w:style w:type="paragraph" w:customStyle="1" w:styleId="32">
    <w:name w:val="列表段落"/>
    <w:qFormat/>
    <w:uiPriority w:val="34"/>
    <w:pPr>
      <w:widowControl/>
      <w:ind w:left="720"/>
      <w:contextualSpacing/>
      <w:jc w:val="left"/>
    </w:pPr>
    <w:rPr>
      <w:rFonts w:hint="default" w:ascii="Calibri" w:hAnsi="Calibri" w:eastAsia="宋体" w:cs="宋体"/>
      <w:sz w:val="24"/>
      <w:szCs w:val="22"/>
      <w:lang w:val="en-US" w:eastAsia="en-US" w:bidi="ar-SA"/>
    </w:rPr>
  </w:style>
  <w:style w:type="character" w:customStyle="1" w:styleId="33">
    <w:name w:val="标题 4 Char"/>
    <w:qFormat/>
    <w:uiPriority w:val="9"/>
    <w:rPr>
      <w:rFonts w:ascii="Cambria" w:hAnsi="Cambria" w:eastAsia="宋体" w:cs="Times New Roman"/>
      <w:b/>
      <w:bCs/>
      <w:sz w:val="28"/>
      <w:szCs w:val="28"/>
    </w:rPr>
  </w:style>
  <w:style w:type="paragraph" w:customStyle="1" w:styleId="34">
    <w:name w:val="Normal_2"/>
    <w:qFormat/>
    <w:uiPriority w:val="0"/>
    <w:rPr>
      <w:rFonts w:ascii="Calibri" w:hAnsi="Calibri" w:eastAsia="Times New Roman" w:cs="Times New Roman"/>
      <w:sz w:val="24"/>
      <w:szCs w:val="24"/>
    </w:rPr>
  </w:style>
  <w:style w:type="paragraph" w:customStyle="1" w:styleId="35">
    <w:name w:val="Normal_3"/>
    <w:qFormat/>
    <w:uiPriority w:val="0"/>
    <w:rPr>
      <w:rFonts w:ascii="Calibri" w:hAnsi="Calibri" w:eastAsia="Times New Roman" w:cs="Times New Roman"/>
      <w:sz w:val="24"/>
      <w:szCs w:val="24"/>
    </w:rPr>
  </w:style>
  <w:style w:type="paragraph" w:customStyle="1" w:styleId="36">
    <w:name w:val="Normal_5"/>
    <w:qFormat/>
    <w:uiPriority w:val="0"/>
    <w:rPr>
      <w:rFonts w:ascii="Calibri" w:hAnsi="Calibri" w:eastAsia="Times New Roman" w:cs="Times New Roman"/>
      <w:sz w:val="24"/>
      <w:szCs w:val="24"/>
    </w:rPr>
  </w:style>
  <w:style w:type="paragraph" w:customStyle="1" w:styleId="37">
    <w:name w:val="Normal_6"/>
    <w:qFormat/>
    <w:uiPriority w:val="0"/>
    <w:rPr>
      <w:rFonts w:ascii="Calibri" w:hAnsi="Calibri" w:eastAsia="Times New Roman" w:cs="Times New Roman"/>
      <w:sz w:val="24"/>
      <w:szCs w:val="24"/>
    </w:rPr>
  </w:style>
  <w:style w:type="paragraph" w:customStyle="1" w:styleId="38">
    <w:name w:val="Normal_7"/>
    <w:qFormat/>
    <w:uiPriority w:val="0"/>
    <w:rPr>
      <w:rFonts w:ascii="Calibri" w:hAnsi="Calibri" w:eastAsia="Times New Roman" w:cs="Times New Roman"/>
      <w:sz w:val="24"/>
      <w:szCs w:val="24"/>
    </w:rPr>
  </w:style>
  <w:style w:type="paragraph" w:customStyle="1" w:styleId="39">
    <w:name w:val="Normal_8"/>
    <w:qFormat/>
    <w:uiPriority w:val="0"/>
    <w:rPr>
      <w:rFonts w:ascii="Calibri" w:hAnsi="Calibri" w:eastAsia="Times New Roman" w:cs="Times New Roman"/>
      <w:sz w:val="24"/>
      <w:szCs w:val="24"/>
    </w:rPr>
  </w:style>
  <w:style w:type="paragraph" w:customStyle="1" w:styleId="40">
    <w:name w:val="Normal_1"/>
    <w:qFormat/>
    <w:uiPriority w:val="0"/>
    <w:rPr>
      <w:rFonts w:ascii="Calibri" w:hAnsi="Calibri" w:eastAsia="Times New Roman" w:cs="Times New Roman"/>
      <w:sz w:val="24"/>
      <w:szCs w:val="24"/>
    </w:rPr>
  </w:style>
  <w:style w:type="paragraph" w:customStyle="1" w:styleId="41">
    <w:name w:val="Normal_16"/>
    <w:qFormat/>
    <w:uiPriority w:val="0"/>
    <w:rPr>
      <w:rFonts w:ascii="Calibri" w:hAnsi="Calibri" w:eastAsia="Times New Roman" w:cs="Times New Roman"/>
      <w:sz w:val="24"/>
      <w:szCs w:val="24"/>
    </w:rPr>
  </w:style>
  <w:style w:type="paragraph" w:customStyle="1" w:styleId="42">
    <w:name w:val="Normal_0_0"/>
    <w:qFormat/>
    <w:uiPriority w:val="0"/>
    <w:rPr>
      <w:rFonts w:ascii="Calibri" w:hAnsi="Calibri" w:eastAsia="Times New Roman" w:cs="Times New Roman"/>
      <w:sz w:val="24"/>
      <w:szCs w:val="24"/>
    </w:rPr>
  </w:style>
  <w:style w:type="paragraph" w:customStyle="1" w:styleId="43">
    <w:name w:val="Normal_1_0"/>
    <w:qFormat/>
    <w:uiPriority w:val="0"/>
    <w:rPr>
      <w:rFonts w:ascii="Calibri" w:hAnsi="Calibri" w:eastAsia="Times New Roman" w:cs="Times New Roman"/>
      <w:sz w:val="24"/>
      <w:szCs w:val="24"/>
    </w:rPr>
  </w:style>
  <w:style w:type="paragraph" w:customStyle="1" w:styleId="44">
    <w:name w:val="Normal_10"/>
    <w:qFormat/>
    <w:uiPriority w:val="0"/>
    <w:rPr>
      <w:rFonts w:ascii="Calibri" w:hAnsi="Calibri" w:eastAsia="Times New Roman" w:cs="Times New Roman"/>
      <w:sz w:val="24"/>
      <w:szCs w:val="24"/>
    </w:rPr>
  </w:style>
  <w:style w:type="paragraph" w:customStyle="1" w:styleId="45">
    <w:name w:val="Normal_21"/>
    <w:qFormat/>
    <w:uiPriority w:val="0"/>
    <w:rPr>
      <w:rFonts w:ascii="Calibri" w:hAnsi="Calibri" w:eastAsia="Times New Roman" w:cs="Times New Roman"/>
      <w:sz w:val="24"/>
      <w:szCs w:val="24"/>
    </w:rPr>
  </w:style>
  <w:style w:type="character" w:customStyle="1" w:styleId="46">
    <w:name w:val="默认段落字体1"/>
    <w:unhideWhenUsed/>
    <w:qFormat/>
    <w:uiPriority w:val="1"/>
    <w:rPr>
      <w:rFonts w:ascii="Calibri" w:hAnsi="Calibri"/>
      <w:kern w:val="2"/>
      <w:sz w:val="21"/>
      <w:szCs w:val="22"/>
      <w:lang w:val="en-US" w:eastAsia="zh-CN" w:bidi="ar-SA"/>
    </w:rPr>
  </w:style>
  <w:style w:type="paragraph" w:customStyle="1" w:styleId="47">
    <w:name w:val="Normal_12"/>
    <w:next w:val="48"/>
    <w:qFormat/>
    <w:uiPriority w:val="0"/>
    <w:rPr>
      <w:rFonts w:ascii="Calibri" w:hAnsi="Calibri" w:eastAsia="Times New Roman" w:cs="Times New Roman"/>
      <w:sz w:val="24"/>
      <w:szCs w:val="24"/>
    </w:rPr>
  </w:style>
  <w:style w:type="paragraph" w:customStyle="1" w:styleId="48">
    <w:name w:val="首行缩进_0"/>
    <w:basedOn w:val="49"/>
    <w:qFormat/>
    <w:uiPriority w:val="0"/>
    <w:pPr>
      <w:spacing w:line="360" w:lineRule="auto"/>
      <w:ind w:firstLine="480" w:firstLineChars="200"/>
      <w:jc w:val="left"/>
    </w:pPr>
    <w:rPr>
      <w:rFonts w:ascii="宋体" w:hAnsi="宋体"/>
      <w:sz w:val="24"/>
    </w:rPr>
  </w:style>
  <w:style w:type="paragraph" w:customStyle="1" w:styleId="49">
    <w:name w:val="Normal_0"/>
    <w:next w:val="48"/>
    <w:qFormat/>
    <w:uiPriority w:val="0"/>
    <w:rPr>
      <w:rFonts w:ascii="Calibri" w:hAnsi="Calibri" w:eastAsia="Times New Roman" w:cs="Times New Roman"/>
      <w:sz w:val="24"/>
      <w:szCs w:val="24"/>
    </w:rPr>
  </w:style>
  <w:style w:type="paragraph" w:customStyle="1" w:styleId="50">
    <w:name w:val="Normal_13"/>
    <w:next w:val="4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Normal_0_1"/>
    <w:qFormat/>
    <w:uiPriority w:val="0"/>
    <w:rPr>
      <w:rFonts w:ascii="Calibri" w:hAnsi="Calibri" w:eastAsia="Times New Roman" w:cs="Times New Roman"/>
      <w:sz w:val="24"/>
      <w:szCs w:val="24"/>
    </w:rPr>
  </w:style>
  <w:style w:type="paragraph" w:customStyle="1" w:styleId="52">
    <w:name w:val="Normal_0_0_0"/>
    <w:qFormat/>
    <w:uiPriority w:val="0"/>
    <w:rPr>
      <w:rFonts w:ascii="Calibri" w:hAnsi="Calibri" w:eastAsia="Times New Roman" w:cs="Times New Roman"/>
      <w:sz w:val="24"/>
      <w:szCs w:val="24"/>
    </w:rPr>
  </w:style>
  <w:style w:type="paragraph" w:customStyle="1" w:styleId="53">
    <w:name w:val="Normal_1_1"/>
    <w:qFormat/>
    <w:uiPriority w:val="0"/>
    <w:rPr>
      <w:rFonts w:ascii="Calibri" w:hAnsi="Calibri" w:eastAsia="Times New Roman" w:cs="Times New Roman"/>
      <w:sz w:val="24"/>
      <w:szCs w:val="24"/>
    </w:rPr>
  </w:style>
  <w:style w:type="paragraph" w:customStyle="1" w:styleId="54">
    <w:name w:val="Normal_2_0"/>
    <w:qFormat/>
    <w:uiPriority w:val="0"/>
    <w:rPr>
      <w:rFonts w:ascii="Calibri" w:hAnsi="Calibri" w:eastAsia="Times New Roman" w:cs="Times New Roman"/>
      <w:sz w:val="24"/>
      <w:szCs w:val="24"/>
    </w:rPr>
  </w:style>
  <w:style w:type="paragraph" w:customStyle="1" w:styleId="55">
    <w:name w:val="Normal_0_1_0"/>
    <w:qFormat/>
    <w:uiPriority w:val="0"/>
    <w:rPr>
      <w:rFonts w:ascii="Calibri" w:hAnsi="Calibri" w:eastAsia="Times New Roman" w:cs="Times New Roman"/>
      <w:sz w:val="24"/>
      <w:szCs w:val="24"/>
    </w:rPr>
  </w:style>
  <w:style w:type="paragraph" w:customStyle="1" w:styleId="56">
    <w:name w:val="Normal_4_0"/>
    <w:qFormat/>
    <w:uiPriority w:val="0"/>
    <w:rPr>
      <w:rFonts w:ascii="Calibri" w:hAnsi="Calibri" w:eastAsia="Times New Roman" w:cs="Times New Roman"/>
      <w:sz w:val="24"/>
      <w:szCs w:val="24"/>
    </w:rPr>
  </w:style>
  <w:style w:type="paragraph" w:customStyle="1" w:styleId="57">
    <w:name w:val="Normal_0_0_1"/>
    <w:qFormat/>
    <w:uiPriority w:val="0"/>
    <w:rPr>
      <w:rFonts w:ascii="Calibri" w:hAnsi="Calibri" w:eastAsia="Times New Roman" w:cs="Times New Roman"/>
      <w:sz w:val="24"/>
      <w:szCs w:val="24"/>
    </w:rPr>
  </w:style>
  <w:style w:type="paragraph" w:customStyle="1" w:styleId="58">
    <w:name w:val="Normal_5_0"/>
    <w:qFormat/>
    <w:uiPriority w:val="0"/>
    <w:rPr>
      <w:rFonts w:ascii="Calibri" w:hAnsi="Calibri" w:eastAsia="Times New Roman" w:cs="Times New Roman"/>
      <w:sz w:val="24"/>
      <w:szCs w:val="24"/>
    </w:rPr>
  </w:style>
  <w:style w:type="paragraph" w:customStyle="1" w:styleId="59">
    <w:name w:val="Normal_0_0_2"/>
    <w:qFormat/>
    <w:uiPriority w:val="0"/>
    <w:rPr>
      <w:rFonts w:ascii="Calibri" w:hAnsi="Calibri" w:eastAsia="Times New Roman" w:cs="Times New Roman"/>
      <w:sz w:val="24"/>
      <w:szCs w:val="24"/>
    </w:rPr>
  </w:style>
  <w:style w:type="paragraph" w:styleId="60">
    <w:name w:val="List Paragraph"/>
    <w:basedOn w:val="1"/>
    <w:qFormat/>
    <w:uiPriority w:val="34"/>
    <w:pPr>
      <w:widowControl/>
      <w:ind w:left="720"/>
      <w:contextualSpacing/>
      <w:jc w:val="left"/>
    </w:pPr>
    <w:rPr>
      <w:rFonts w:ascii="Calibri" w:hAnsi="Calibri" w:cs="宋体"/>
      <w:kern w:val="0"/>
      <w:sz w:val="24"/>
      <w:lang w:eastAsia="en-US"/>
    </w:rPr>
  </w:style>
  <w:style w:type="paragraph" w:customStyle="1" w:styleId="61">
    <w:name w:val="[正文行首缩进]"/>
    <w:qFormat/>
    <w:uiPriority w:val="0"/>
    <w:pPr>
      <w:widowControl w:val="0"/>
      <w:spacing w:afterLines="50" w:line="360" w:lineRule="auto"/>
      <w:ind w:firstLine="480" w:firstLineChars="200"/>
      <w:jc w:val="both"/>
    </w:pPr>
    <w:rPr>
      <w:rFonts w:ascii="Times New Roman" w:hAnsi="Times New Roman" w:eastAsia="宋体" w:cs="Times New Roman"/>
      <w:bCs/>
      <w:color w:val="000000"/>
      <w:kern w:val="2"/>
      <w:sz w:val="24"/>
      <w:szCs w:val="24"/>
      <w:lang w:val="en-US" w:eastAsia="zh-CN" w:bidi="ar-SA"/>
    </w:rPr>
  </w:style>
  <w:style w:type="character" w:customStyle="1" w:styleId="62">
    <w:name w:val="NormalCharacter"/>
    <w:qFormat/>
    <w:uiPriority w:val="0"/>
  </w:style>
  <w:style w:type="paragraph" w:customStyle="1" w:styleId="63">
    <w:name w:val="Normal_0_4"/>
    <w:qFormat/>
    <w:uiPriority w:val="0"/>
    <w:rPr>
      <w:rFonts w:ascii="Calibri" w:hAnsi="Calibri" w:eastAsia="Times New Roman" w:cs="Times New Roman"/>
      <w:sz w:val="24"/>
      <w:szCs w:val="24"/>
    </w:rPr>
  </w:style>
  <w:style w:type="paragraph" w:customStyle="1" w:styleId="64">
    <w:name w:val="Normal_17"/>
    <w:qFormat/>
    <w:uiPriority w:val="0"/>
    <w:rPr>
      <w:rFonts w:ascii="Calibri" w:hAnsi="Calibri" w:eastAsia="Times New Roman" w:cs="Times New Roman"/>
      <w:sz w:val="24"/>
      <w:szCs w:val="24"/>
    </w:rPr>
  </w:style>
  <w:style w:type="paragraph" w:customStyle="1" w:styleId="65">
    <w:name w:val="Normal_18"/>
    <w:qFormat/>
    <w:uiPriority w:val="0"/>
    <w:rPr>
      <w:rFonts w:ascii="Calibri" w:hAnsi="Calibri" w:eastAsia="Times New Roman" w:cs="Times New Roman"/>
      <w:sz w:val="24"/>
      <w:szCs w:val="24"/>
    </w:rPr>
  </w:style>
  <w:style w:type="paragraph" w:customStyle="1" w:styleId="66">
    <w:name w:val="Normal_2_1"/>
    <w:qFormat/>
    <w:uiPriority w:val="0"/>
    <w:rPr>
      <w:rFonts w:ascii="Calibri" w:hAnsi="Calibri" w:eastAsia="Times New Roman" w:cs="Times New Roman"/>
      <w:sz w:val="24"/>
      <w:szCs w:val="24"/>
    </w:rPr>
  </w:style>
  <w:style w:type="paragraph" w:customStyle="1" w:styleId="67">
    <w:name w:val="Normal_3_0"/>
    <w:qFormat/>
    <w:uiPriority w:val="0"/>
    <w:rPr>
      <w:rFonts w:ascii="Calibri" w:hAnsi="Calibri" w:eastAsia="Times New Roman" w:cs="Times New Roman"/>
      <w:sz w:val="24"/>
      <w:szCs w:val="24"/>
    </w:rPr>
  </w:style>
  <w:style w:type="paragraph" w:customStyle="1" w:styleId="68">
    <w:name w:val="Normal_4_1"/>
    <w:qFormat/>
    <w:uiPriority w:val="0"/>
    <w:rPr>
      <w:rFonts w:ascii="Calibri" w:hAnsi="Calibri" w:eastAsia="Times New Roman" w:cs="Times New Roman"/>
      <w:sz w:val="24"/>
      <w:szCs w:val="24"/>
    </w:rPr>
  </w:style>
  <w:style w:type="paragraph" w:customStyle="1" w:styleId="69">
    <w:name w:val="Normal_5_1"/>
    <w:qFormat/>
    <w:uiPriority w:val="0"/>
    <w:rPr>
      <w:rFonts w:ascii="Calibri" w:hAnsi="Calibri" w:eastAsia="Times New Roman" w:cs="Times New Roman"/>
      <w:sz w:val="24"/>
      <w:szCs w:val="24"/>
    </w:rPr>
  </w:style>
  <w:style w:type="paragraph" w:customStyle="1" w:styleId="70">
    <w:name w:val="Normal_6_0"/>
    <w:qFormat/>
    <w:uiPriority w:val="0"/>
    <w:rPr>
      <w:rFonts w:ascii="Calibri" w:hAnsi="Calibri" w:eastAsia="Times New Roman" w:cs="Times New Roman"/>
      <w:sz w:val="24"/>
      <w:szCs w:val="24"/>
    </w:rPr>
  </w:style>
  <w:style w:type="paragraph" w:customStyle="1" w:styleId="71">
    <w:name w:val="Normal_7_0"/>
    <w:qFormat/>
    <w:uiPriority w:val="0"/>
    <w:rPr>
      <w:rFonts w:ascii="Calibri" w:hAnsi="Calibri" w:eastAsia="Times New Roman" w:cs="Times New Roman"/>
      <w:sz w:val="24"/>
      <w:szCs w:val="24"/>
    </w:rPr>
  </w:style>
  <w:style w:type="paragraph" w:customStyle="1" w:styleId="72">
    <w:name w:val="Normal_8_0"/>
    <w:qFormat/>
    <w:uiPriority w:val="0"/>
    <w:rPr>
      <w:rFonts w:ascii="Calibri" w:hAnsi="Calibri" w:eastAsia="Times New Roman" w:cs="Times New Roman"/>
      <w:sz w:val="24"/>
      <w:szCs w:val="24"/>
    </w:rPr>
  </w:style>
  <w:style w:type="paragraph" w:customStyle="1" w:styleId="73">
    <w:name w:val="Normal_9_0"/>
    <w:qFormat/>
    <w:uiPriority w:val="0"/>
    <w:rPr>
      <w:rFonts w:ascii="Calibri" w:hAnsi="Calibri" w:eastAsia="Times New Roman" w:cs="Times New Roman"/>
      <w:sz w:val="24"/>
      <w:szCs w:val="24"/>
    </w:rPr>
  </w:style>
  <w:style w:type="paragraph" w:customStyle="1" w:styleId="74">
    <w:name w:val="Normal_10_0"/>
    <w:qFormat/>
    <w:uiPriority w:val="0"/>
    <w:rPr>
      <w:rFonts w:ascii="Calibri" w:hAnsi="Calibri" w:eastAsia="Times New Roman" w:cs="Times New Roman"/>
      <w:sz w:val="24"/>
      <w:szCs w:val="24"/>
    </w:rPr>
  </w:style>
  <w:style w:type="paragraph" w:customStyle="1" w:styleId="75">
    <w:name w:val="Normal_11_0"/>
    <w:qFormat/>
    <w:uiPriority w:val="0"/>
    <w:rPr>
      <w:rFonts w:ascii="Calibri" w:hAnsi="Calibri" w:eastAsia="Times New Roman" w:cs="Times New Roman"/>
      <w:sz w:val="24"/>
      <w:szCs w:val="24"/>
    </w:rPr>
  </w:style>
  <w:style w:type="paragraph" w:customStyle="1" w:styleId="76">
    <w:name w:val="Normal_12_0"/>
    <w:qFormat/>
    <w:uiPriority w:val="0"/>
    <w:rPr>
      <w:rFonts w:ascii="Calibri" w:hAnsi="Calibri" w:eastAsia="Times New Roman" w:cs="Times New Roman"/>
      <w:sz w:val="24"/>
      <w:szCs w:val="24"/>
    </w:rPr>
  </w:style>
  <w:style w:type="paragraph" w:customStyle="1" w:styleId="77">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8">
    <w:name w:val="Normal_13_0"/>
    <w:qFormat/>
    <w:uiPriority w:val="0"/>
    <w:rPr>
      <w:rFonts w:ascii="Calibri" w:hAnsi="Calibri" w:eastAsia="Times New Roman" w:cs="Times New Roman"/>
      <w:sz w:val="24"/>
      <w:szCs w:val="24"/>
    </w:rPr>
  </w:style>
  <w:style w:type="paragraph" w:customStyle="1" w:styleId="79">
    <w:name w:val="Normal_14_0"/>
    <w:qFormat/>
    <w:uiPriority w:val="0"/>
    <w:rPr>
      <w:rFonts w:ascii="Calibri" w:hAnsi="Calibri" w:eastAsia="Times New Roman" w:cs="Times New Roman"/>
      <w:sz w:val="24"/>
      <w:szCs w:val="24"/>
    </w:rPr>
  </w:style>
  <w:style w:type="paragraph" w:customStyle="1" w:styleId="80">
    <w:name w:val="Normal_15_0"/>
    <w:qFormat/>
    <w:uiPriority w:val="0"/>
    <w:rPr>
      <w:rFonts w:ascii="Calibri" w:hAnsi="Calibri" w:eastAsia="Times New Roman" w:cs="Times New Roman"/>
      <w:sz w:val="24"/>
      <w:szCs w:val="24"/>
    </w:rPr>
  </w:style>
  <w:style w:type="paragraph" w:customStyle="1" w:styleId="81">
    <w:name w:val="Normal_16_0"/>
    <w:qFormat/>
    <w:uiPriority w:val="0"/>
    <w:rPr>
      <w:rFonts w:ascii="Calibri" w:hAnsi="Calibri" w:eastAsia="Times New Roman" w:cs="Times New Roman"/>
      <w:sz w:val="24"/>
      <w:szCs w:val="24"/>
    </w:rPr>
  </w:style>
  <w:style w:type="paragraph" w:customStyle="1" w:styleId="82">
    <w:name w:val="Normal_17_0"/>
    <w:qFormat/>
    <w:uiPriority w:val="0"/>
    <w:rPr>
      <w:rFonts w:ascii="Calibri" w:hAnsi="Calibri" w:eastAsia="Times New Roman" w:cs="Times New Roman"/>
      <w:sz w:val="24"/>
      <w:szCs w:val="24"/>
    </w:rPr>
  </w:style>
  <w:style w:type="paragraph" w:customStyle="1" w:styleId="83">
    <w:name w:val="Normal_18_0"/>
    <w:qFormat/>
    <w:uiPriority w:val="0"/>
    <w:rPr>
      <w:rFonts w:ascii="Calibri" w:hAnsi="Calibri" w:eastAsia="Times New Roman" w:cs="Times New Roman"/>
      <w:sz w:val="24"/>
      <w:szCs w:val="24"/>
    </w:rPr>
  </w:style>
  <w:style w:type="paragraph" w:customStyle="1" w:styleId="84">
    <w:name w:val="Normal_19"/>
    <w:qFormat/>
    <w:uiPriority w:val="0"/>
    <w:rPr>
      <w:rFonts w:ascii="Calibri" w:hAnsi="Calibri" w:eastAsia="Times New Roman" w:cs="Times New Roman"/>
      <w:sz w:val="24"/>
      <w:szCs w:val="24"/>
    </w:rPr>
  </w:style>
  <w:style w:type="paragraph" w:customStyle="1" w:styleId="85">
    <w:name w:val="Normal_20"/>
    <w:qFormat/>
    <w:uiPriority w:val="0"/>
    <w:rPr>
      <w:rFonts w:ascii="Calibri" w:hAnsi="Calibri" w:eastAsia="Times New Roman" w:cs="Times New Roman"/>
      <w:sz w:val="24"/>
      <w:szCs w:val="24"/>
    </w:rPr>
  </w:style>
  <w:style w:type="paragraph" w:customStyle="1" w:styleId="86">
    <w:name w:val="Normal_22"/>
    <w:qFormat/>
    <w:uiPriority w:val="0"/>
    <w:rPr>
      <w:rFonts w:ascii="Calibri" w:hAnsi="Calibri" w:eastAsia="Times New Roman" w:cs="Times New Roman"/>
      <w:sz w:val="24"/>
      <w:szCs w:val="24"/>
    </w:rPr>
  </w:style>
  <w:style w:type="paragraph" w:customStyle="1" w:styleId="87">
    <w:name w:val="Normal_23"/>
    <w:qFormat/>
    <w:uiPriority w:val="0"/>
    <w:rPr>
      <w:rFonts w:ascii="Calibri" w:hAnsi="Calibri" w:eastAsia="Times New Roman" w:cs="Times New Roman"/>
      <w:sz w:val="24"/>
      <w:szCs w:val="24"/>
    </w:rPr>
  </w:style>
  <w:style w:type="paragraph" w:customStyle="1" w:styleId="88">
    <w:name w:val="Normal_24"/>
    <w:qFormat/>
    <w:uiPriority w:val="0"/>
    <w:rPr>
      <w:rFonts w:ascii="Calibri" w:hAnsi="Calibri" w:eastAsia="Times New Roman" w:cs="Times New Roman"/>
      <w:sz w:val="24"/>
      <w:szCs w:val="24"/>
    </w:rPr>
  </w:style>
  <w:style w:type="paragraph" w:customStyle="1" w:styleId="89">
    <w:name w:val="Normal_25"/>
    <w:qFormat/>
    <w:uiPriority w:val="0"/>
    <w:rPr>
      <w:rFonts w:ascii="Calibri" w:hAnsi="Calibri" w:eastAsia="Times New Roman" w:cs="Times New Roman"/>
      <w:sz w:val="24"/>
      <w:szCs w:val="24"/>
    </w:rPr>
  </w:style>
  <w:style w:type="paragraph" w:customStyle="1" w:styleId="90">
    <w:name w:val="Normal_26"/>
    <w:qFormat/>
    <w:uiPriority w:val="0"/>
    <w:rPr>
      <w:rFonts w:ascii="Calibri" w:hAnsi="Calibri" w:eastAsia="Times New Roman" w:cs="Times New Roman"/>
      <w:sz w:val="24"/>
      <w:szCs w:val="24"/>
    </w:rPr>
  </w:style>
  <w:style w:type="paragraph" w:customStyle="1" w:styleId="91">
    <w:name w:val="Normal_27"/>
    <w:qFormat/>
    <w:uiPriority w:val="0"/>
    <w:rPr>
      <w:rFonts w:ascii="Calibri" w:hAnsi="Calibri" w:eastAsia="Times New Roman" w:cs="Times New Roman"/>
      <w:sz w:val="24"/>
      <w:szCs w:val="24"/>
    </w:rPr>
  </w:style>
  <w:style w:type="paragraph" w:customStyle="1" w:styleId="92">
    <w:name w:val="Normal_28"/>
    <w:qFormat/>
    <w:uiPriority w:val="0"/>
    <w:rPr>
      <w:rFonts w:ascii="Calibri" w:hAnsi="Calibri" w:eastAsia="Times New Roman" w:cs="Times New Roman"/>
      <w:sz w:val="24"/>
      <w:szCs w:val="24"/>
    </w:rPr>
  </w:style>
  <w:style w:type="paragraph" w:customStyle="1" w:styleId="93">
    <w:name w:val="Normal_29"/>
    <w:qFormat/>
    <w:uiPriority w:val="0"/>
    <w:rPr>
      <w:rFonts w:ascii="Calibri" w:hAnsi="Calibri" w:eastAsia="Times New Roman" w:cs="Times New Roman"/>
      <w:sz w:val="24"/>
      <w:szCs w:val="24"/>
    </w:rPr>
  </w:style>
  <w:style w:type="paragraph" w:customStyle="1" w:styleId="94">
    <w:name w:val="Normal_30"/>
    <w:qFormat/>
    <w:uiPriority w:val="0"/>
    <w:rPr>
      <w:rFonts w:ascii="Calibri" w:hAnsi="Calibri" w:eastAsia="Times New Roman" w:cs="Times New Roman"/>
      <w:sz w:val="24"/>
      <w:szCs w:val="24"/>
    </w:rPr>
  </w:style>
  <w:style w:type="paragraph" w:customStyle="1" w:styleId="95">
    <w:name w:val="Normal_31"/>
    <w:qFormat/>
    <w:uiPriority w:val="0"/>
    <w:rPr>
      <w:rFonts w:ascii="Calibri" w:hAnsi="Calibri" w:eastAsia="Times New Roman" w:cs="Times New Roman"/>
      <w:sz w:val="24"/>
      <w:szCs w:val="24"/>
    </w:rPr>
  </w:style>
  <w:style w:type="paragraph" w:customStyle="1" w:styleId="96">
    <w:name w:val="正文文本缩进1"/>
    <w:next w:val="97"/>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97">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98">
    <w:name w:val="Normal_0_3"/>
    <w:qFormat/>
    <w:uiPriority w:val="0"/>
    <w:rPr>
      <w:rFonts w:ascii="Calibri" w:hAnsi="Calibri" w:eastAsia="Times New Roman" w:cs="Times New Roman"/>
      <w:sz w:val="24"/>
      <w:szCs w:val="24"/>
    </w:rPr>
  </w:style>
  <w:style w:type="paragraph" w:customStyle="1" w:styleId="99">
    <w:name w:val="Normal_32"/>
    <w:qFormat/>
    <w:uiPriority w:val="0"/>
    <w:rPr>
      <w:rFonts w:ascii="Calibri" w:hAnsi="Calibri" w:eastAsia="Times New Roman" w:cs="Times New Roman"/>
      <w:sz w:val="24"/>
      <w:szCs w:val="24"/>
    </w:rPr>
  </w:style>
  <w:style w:type="paragraph" w:customStyle="1" w:styleId="100">
    <w:name w:val="正文_0_0"/>
    <w:next w:val="101"/>
    <w:qFormat/>
    <w:uiPriority w:val="0"/>
    <w:pPr>
      <w:widowControl w:val="0"/>
      <w:jc w:val="both"/>
    </w:pPr>
    <w:rPr>
      <w:rFonts w:ascii="Calibri" w:hAnsi="Calibri" w:eastAsia="宋体" w:cs="Times New Roman"/>
      <w:kern w:val="2"/>
      <w:sz w:val="21"/>
      <w:lang w:val="en-US" w:eastAsia="zh-CN" w:bidi="ar-SA"/>
    </w:rPr>
  </w:style>
  <w:style w:type="paragraph" w:customStyle="1" w:styleId="101">
    <w:name w:val="正文文本_0"/>
    <w:basedOn w:val="102"/>
    <w:qFormat/>
    <w:uiPriority w:val="0"/>
    <w:pPr>
      <w:spacing w:line="400" w:lineRule="exact"/>
    </w:pPr>
    <w:rPr>
      <w:sz w:val="24"/>
    </w:rPr>
  </w:style>
  <w:style w:type="paragraph" w:customStyle="1" w:styleId="102">
    <w:name w:val="正文_1"/>
    <w:next w:val="101"/>
    <w:qFormat/>
    <w:uiPriority w:val="0"/>
    <w:pPr>
      <w:widowControl w:val="0"/>
      <w:jc w:val="both"/>
    </w:pPr>
    <w:rPr>
      <w:rFonts w:ascii="Calibri" w:hAnsi="Calibri" w:eastAsia="宋体" w:cs="Times New Roman"/>
      <w:kern w:val="2"/>
      <w:sz w:val="21"/>
      <w:lang w:val="en-US" w:eastAsia="zh-CN" w:bidi="ar-SA"/>
    </w:rPr>
  </w:style>
  <w:style w:type="paragraph" w:customStyle="1" w:styleId="103">
    <w:name w:val="Normal_33"/>
    <w:qFormat/>
    <w:uiPriority w:val="0"/>
    <w:rPr>
      <w:rFonts w:ascii="Calibri" w:hAnsi="Calibri" w:eastAsia="Times New Roman" w:cs="Times New Roman"/>
      <w:sz w:val="24"/>
      <w:szCs w:val="24"/>
    </w:rPr>
  </w:style>
  <w:style w:type="paragraph" w:customStyle="1" w:styleId="104">
    <w:name w:val="Normal_34"/>
    <w:qFormat/>
    <w:uiPriority w:val="0"/>
    <w:rPr>
      <w:rFonts w:ascii="Calibri" w:hAnsi="Calibri" w:eastAsia="Times New Roman" w:cs="Times New Roman"/>
      <w:sz w:val="24"/>
      <w:szCs w:val="24"/>
    </w:rPr>
  </w:style>
  <w:style w:type="paragraph" w:customStyle="1" w:styleId="105">
    <w:name w:val="Normal_35"/>
    <w:qFormat/>
    <w:uiPriority w:val="0"/>
    <w:rPr>
      <w:rFonts w:ascii="Calibri" w:hAnsi="Calibri" w:eastAsia="Times New Roman" w:cs="Times New Roman"/>
      <w:sz w:val="24"/>
      <w:szCs w:val="24"/>
    </w:rPr>
  </w:style>
  <w:style w:type="paragraph" w:customStyle="1" w:styleId="106">
    <w:name w:val="Normal_36"/>
    <w:qFormat/>
    <w:uiPriority w:val="0"/>
    <w:rPr>
      <w:rFonts w:ascii="Calibri" w:hAnsi="Calibri" w:eastAsia="Times New Roman" w:cs="Times New Roman"/>
      <w:sz w:val="24"/>
      <w:szCs w:val="24"/>
    </w:rPr>
  </w:style>
  <w:style w:type="paragraph" w:customStyle="1" w:styleId="107">
    <w:name w:val="Normal_37"/>
    <w:qFormat/>
    <w:uiPriority w:val="0"/>
    <w:rPr>
      <w:rFonts w:ascii="Calibri" w:hAnsi="Calibri" w:eastAsia="Times New Roman" w:cs="Times New Roman"/>
      <w:sz w:val="24"/>
      <w:szCs w:val="24"/>
    </w:rPr>
  </w:style>
  <w:style w:type="paragraph" w:customStyle="1" w:styleId="108">
    <w:name w:val="Normal_38"/>
    <w:qFormat/>
    <w:uiPriority w:val="0"/>
    <w:rPr>
      <w:rFonts w:ascii="Calibri" w:hAnsi="Calibri" w:eastAsia="Times New Roman" w:cs="Times New Roman"/>
      <w:sz w:val="24"/>
      <w:szCs w:val="24"/>
    </w:rPr>
  </w:style>
  <w:style w:type="paragraph" w:customStyle="1" w:styleId="109">
    <w:name w:val="Normal_39"/>
    <w:qFormat/>
    <w:uiPriority w:val="0"/>
    <w:rPr>
      <w:rFonts w:ascii="Calibri" w:hAnsi="Calibri" w:eastAsia="Times New Roman" w:cs="Times New Roman"/>
      <w:sz w:val="24"/>
      <w:szCs w:val="24"/>
    </w:rPr>
  </w:style>
  <w:style w:type="paragraph" w:customStyle="1" w:styleId="110">
    <w:name w:val="Normal_40"/>
    <w:qFormat/>
    <w:uiPriority w:val="0"/>
    <w:rPr>
      <w:rFonts w:ascii="Calibri" w:hAnsi="Calibri" w:eastAsia="Times New Roman" w:cs="Times New Roman"/>
      <w:sz w:val="24"/>
      <w:szCs w:val="24"/>
    </w:rPr>
  </w:style>
  <w:style w:type="paragraph" w:customStyle="1" w:styleId="111">
    <w:name w:val="Normal_41"/>
    <w:qFormat/>
    <w:uiPriority w:val="0"/>
    <w:rPr>
      <w:rFonts w:ascii="Calibri" w:hAnsi="Calibri" w:eastAsia="Times New Roman" w:cs="Times New Roman"/>
      <w:sz w:val="24"/>
      <w:szCs w:val="24"/>
    </w:rPr>
  </w:style>
  <w:style w:type="paragraph" w:customStyle="1" w:styleId="112">
    <w:name w:val="正文_2"/>
    <w:next w:val="113"/>
    <w:qFormat/>
    <w:uiPriority w:val="0"/>
    <w:pPr>
      <w:widowControl w:val="0"/>
      <w:jc w:val="both"/>
    </w:pPr>
    <w:rPr>
      <w:rFonts w:ascii="Calibri" w:hAnsi="Calibri" w:eastAsia="宋体" w:cs="Times New Roman"/>
      <w:kern w:val="2"/>
      <w:sz w:val="21"/>
      <w:lang w:val="en-US" w:eastAsia="zh-CN" w:bidi="ar-SA"/>
    </w:rPr>
  </w:style>
  <w:style w:type="paragraph" w:customStyle="1" w:styleId="113">
    <w:name w:val="正文文本_1"/>
    <w:basedOn w:val="112"/>
    <w:qFormat/>
    <w:uiPriority w:val="0"/>
    <w:pPr>
      <w:spacing w:line="400" w:lineRule="exact"/>
    </w:pPr>
    <w:rPr>
      <w:sz w:val="24"/>
    </w:rPr>
  </w:style>
  <w:style w:type="paragraph" w:customStyle="1" w:styleId="114">
    <w:name w:val="Normal_43"/>
    <w:qFormat/>
    <w:uiPriority w:val="0"/>
    <w:rPr>
      <w:rFonts w:ascii="Calibri" w:hAnsi="Calibri" w:eastAsia="Times New Roman" w:cs="Times New Roman"/>
      <w:sz w:val="24"/>
      <w:szCs w:val="24"/>
    </w:rPr>
  </w:style>
  <w:style w:type="character" w:customStyle="1" w:styleId="115">
    <w:name w:val="默认段落字体11"/>
    <w:unhideWhenUsed/>
    <w:qFormat/>
    <w:uiPriority w:val="1"/>
    <w:rPr>
      <w:rFonts w:ascii="Calibri" w:hAnsi="Calibri"/>
      <w:kern w:val="2"/>
      <w:sz w:val="21"/>
      <w:szCs w:val="22"/>
      <w:lang w:val="en-US" w:eastAsia="zh-CN" w:bidi="ar-SA"/>
    </w:rPr>
  </w:style>
  <w:style w:type="paragraph" w:customStyle="1" w:styleId="116">
    <w:name w:val="Normal_47"/>
    <w:qFormat/>
    <w:uiPriority w:val="0"/>
    <w:rPr>
      <w:rFonts w:ascii="Calibri" w:hAnsi="Calibri" w:eastAsia="Times New Roman" w:cs="Times New Roman"/>
      <w:sz w:val="24"/>
      <w:szCs w:val="24"/>
    </w:rPr>
  </w:style>
  <w:style w:type="paragraph" w:customStyle="1" w:styleId="117">
    <w:name w:val="正文_4"/>
    <w:next w:val="118"/>
    <w:qFormat/>
    <w:uiPriority w:val="0"/>
    <w:pPr>
      <w:widowControl w:val="0"/>
      <w:jc w:val="both"/>
    </w:pPr>
    <w:rPr>
      <w:rFonts w:ascii="Calibri" w:hAnsi="Calibri" w:eastAsia="宋体" w:cs="Times New Roman"/>
      <w:kern w:val="2"/>
      <w:sz w:val="21"/>
      <w:lang w:val="en-US" w:eastAsia="zh-CN" w:bidi="ar-SA"/>
    </w:rPr>
  </w:style>
  <w:style w:type="paragraph" w:customStyle="1" w:styleId="118">
    <w:name w:val="正文文本_3"/>
    <w:basedOn w:val="117"/>
    <w:qFormat/>
    <w:uiPriority w:val="0"/>
    <w:pPr>
      <w:spacing w:line="400" w:lineRule="exact"/>
    </w:pPr>
    <w:rPr>
      <w:sz w:val="24"/>
    </w:rPr>
  </w:style>
  <w:style w:type="paragraph" w:customStyle="1" w:styleId="119">
    <w:name w:val="Normal_48"/>
    <w:qFormat/>
    <w:uiPriority w:val="0"/>
    <w:rPr>
      <w:rFonts w:ascii="Calibri" w:hAnsi="Calibri" w:eastAsia="Times New Roman" w:cs="Times New Roman"/>
      <w:sz w:val="24"/>
      <w:szCs w:val="24"/>
    </w:rPr>
  </w:style>
  <w:style w:type="character" w:customStyle="1" w:styleId="120">
    <w:name w:val="font11"/>
    <w:qFormat/>
    <w:uiPriority w:val="0"/>
    <w:rPr>
      <w:rFonts w:hint="eastAsia" w:ascii="宋体" w:hAnsi="宋体" w:eastAsia="宋体" w:cs="宋体"/>
      <w:color w:val="000000"/>
      <w:sz w:val="22"/>
      <w:szCs w:val="22"/>
      <w:u w:val="none"/>
    </w:rPr>
  </w:style>
  <w:style w:type="paragraph" w:customStyle="1" w:styleId="121">
    <w:name w:val="Normal_42"/>
    <w:qFormat/>
    <w:uiPriority w:val="0"/>
    <w:rPr>
      <w:rFonts w:ascii="Calibri" w:hAnsi="Calibri" w:eastAsia="Times New Roman" w:cs="Times New Roman"/>
      <w:sz w:val="24"/>
      <w:szCs w:val="24"/>
    </w:rPr>
  </w:style>
  <w:style w:type="paragraph" w:customStyle="1" w:styleId="122">
    <w:name w:val="Normal_44"/>
    <w:qFormat/>
    <w:uiPriority w:val="0"/>
    <w:rPr>
      <w:rFonts w:ascii="Calibri" w:hAnsi="Calibri" w:eastAsia="Times New Roman" w:cs="Times New Roman"/>
      <w:sz w:val="24"/>
      <w:szCs w:val="24"/>
    </w:rPr>
  </w:style>
  <w:style w:type="paragraph" w:customStyle="1" w:styleId="123">
    <w:name w:val="Normal_45"/>
    <w:qFormat/>
    <w:uiPriority w:val="0"/>
    <w:rPr>
      <w:rFonts w:ascii="Calibri" w:hAnsi="Calibri" w:eastAsia="Times New Roman" w:cs="Times New Roman"/>
      <w:sz w:val="24"/>
      <w:szCs w:val="24"/>
    </w:rPr>
  </w:style>
  <w:style w:type="paragraph" w:customStyle="1" w:styleId="124">
    <w:name w:val="Normal_46"/>
    <w:qFormat/>
    <w:uiPriority w:val="0"/>
    <w:rPr>
      <w:rFonts w:ascii="Calibri" w:hAnsi="Calibri" w:eastAsia="Times New Roman" w:cs="Times New Roman"/>
      <w:sz w:val="24"/>
      <w:szCs w:val="24"/>
    </w:rPr>
  </w:style>
  <w:style w:type="paragraph" w:customStyle="1" w:styleId="125">
    <w:name w:val="正文_3"/>
    <w:next w:val="126"/>
    <w:qFormat/>
    <w:uiPriority w:val="0"/>
    <w:pPr>
      <w:widowControl w:val="0"/>
      <w:jc w:val="both"/>
    </w:pPr>
    <w:rPr>
      <w:rFonts w:ascii="Calibri" w:hAnsi="Calibri" w:eastAsia="宋体" w:cs="Times New Roman"/>
      <w:kern w:val="2"/>
      <w:sz w:val="21"/>
      <w:lang w:val="en-US" w:eastAsia="zh-CN" w:bidi="ar-SA"/>
    </w:rPr>
  </w:style>
  <w:style w:type="paragraph" w:customStyle="1" w:styleId="126">
    <w:name w:val="正文文本_2"/>
    <w:qFormat/>
    <w:uiPriority w:val="0"/>
    <w:pPr>
      <w:widowControl w:val="0"/>
      <w:spacing w:line="400" w:lineRule="exact"/>
      <w:jc w:val="both"/>
    </w:pPr>
    <w:rPr>
      <w:rFonts w:ascii="Calibri" w:hAnsi="Calibri"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109</Pages>
  <Words>22849</Words>
  <Characters>24111</Characters>
  <Lines>0</Lines>
  <Paragraphs>0</Paragraphs>
  <TotalTime>27</TotalTime>
  <ScaleCrop>false</ScaleCrop>
  <LinksUpToDate>false</LinksUpToDate>
  <CharactersWithSpaces>24506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2025-09-11T01:11:00Z</dcterms:created>
  <dc:creator>DELL</dc:creator>
  <cp:lastModifiedBy>云</cp:lastModifiedBy>
  <dcterms:modified xsi:type="dcterms:W3CDTF">2025-12-24T02:33:19Z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eyJoZGlkIjoiNmI3NjkzNTNmMjIzYTVmNjIxZTczYTJlNWQ1NGQ3YmUiLCJ1c2VySWQiOiI3OTY3MzgxODMifQ==</vt:lpwstr>
  </property>
  <property fmtid="{D5CDD505-2E9C-101B-9397-08002B2CF9AE}" pid="4" name="ICV">
    <vt:lpwstr>1A725F00DBA64A27BCAF49A45436B905_13</vt:lpwstr>
  </property>
</Properties>
</file>